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A0" w:rsidRDefault="00A461A0" w:rsidP="00A461A0">
      <w:pPr>
        <w:ind w:firstLine="284"/>
        <w:jc w:val="center"/>
        <w:rPr>
          <w:b/>
          <w:sz w:val="56"/>
          <w:szCs w:val="36"/>
        </w:rPr>
      </w:pPr>
    </w:p>
    <w:p w:rsidR="00A461A0" w:rsidRDefault="00A461A0" w:rsidP="00A461A0">
      <w:pPr>
        <w:ind w:firstLine="284"/>
        <w:jc w:val="center"/>
        <w:rPr>
          <w:b/>
          <w:sz w:val="56"/>
          <w:szCs w:val="36"/>
        </w:rPr>
      </w:pPr>
    </w:p>
    <w:p w:rsidR="00A461A0" w:rsidRDefault="00A461A0" w:rsidP="00A461A0">
      <w:pPr>
        <w:ind w:firstLine="284"/>
        <w:jc w:val="center"/>
        <w:rPr>
          <w:b/>
          <w:sz w:val="56"/>
          <w:szCs w:val="36"/>
        </w:rPr>
      </w:pPr>
    </w:p>
    <w:p w:rsidR="00A461A0" w:rsidRDefault="00A461A0" w:rsidP="00A461A0">
      <w:pPr>
        <w:ind w:firstLine="284"/>
        <w:jc w:val="center"/>
        <w:rPr>
          <w:b/>
          <w:sz w:val="56"/>
          <w:szCs w:val="36"/>
        </w:rPr>
      </w:pPr>
    </w:p>
    <w:p w:rsidR="00A461A0" w:rsidRDefault="00A461A0" w:rsidP="00A461A0">
      <w:pPr>
        <w:ind w:firstLine="284"/>
        <w:jc w:val="center"/>
        <w:rPr>
          <w:b/>
          <w:sz w:val="56"/>
          <w:szCs w:val="36"/>
        </w:rPr>
      </w:pPr>
    </w:p>
    <w:p w:rsidR="00326FE1" w:rsidRDefault="00A461A0" w:rsidP="00A461A0">
      <w:pPr>
        <w:ind w:firstLine="284"/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С</w:t>
      </w:r>
      <w:r w:rsidRPr="00550C53">
        <w:rPr>
          <w:b/>
          <w:sz w:val="56"/>
          <w:szCs w:val="36"/>
        </w:rPr>
        <w:t>тратеги</w:t>
      </w:r>
      <w:r>
        <w:rPr>
          <w:b/>
          <w:sz w:val="56"/>
          <w:szCs w:val="36"/>
        </w:rPr>
        <w:t>я</w:t>
      </w:r>
      <w:r w:rsidRPr="00550C53">
        <w:rPr>
          <w:b/>
          <w:sz w:val="56"/>
          <w:szCs w:val="36"/>
        </w:rPr>
        <w:t xml:space="preserve"> развития </w:t>
      </w:r>
      <w:r w:rsidR="00326FE1">
        <w:rPr>
          <w:b/>
          <w:sz w:val="56"/>
          <w:szCs w:val="36"/>
        </w:rPr>
        <w:t xml:space="preserve">ЖКХ </w:t>
      </w:r>
      <w:r w:rsidR="00326FE1" w:rsidRPr="00550C53">
        <w:rPr>
          <w:b/>
          <w:sz w:val="56"/>
          <w:szCs w:val="36"/>
        </w:rPr>
        <w:t>Российской Федерации на период до 203</w:t>
      </w:r>
      <w:r w:rsidR="00326FE1">
        <w:rPr>
          <w:b/>
          <w:sz w:val="56"/>
          <w:szCs w:val="36"/>
        </w:rPr>
        <w:t>5</w:t>
      </w:r>
      <w:r w:rsidR="00326FE1" w:rsidRPr="00550C53">
        <w:rPr>
          <w:b/>
          <w:sz w:val="56"/>
          <w:szCs w:val="36"/>
        </w:rPr>
        <w:t xml:space="preserve"> года</w:t>
      </w:r>
      <w:r w:rsidR="00326FE1">
        <w:rPr>
          <w:b/>
          <w:sz w:val="56"/>
          <w:szCs w:val="36"/>
        </w:rPr>
        <w:t>.</w:t>
      </w:r>
    </w:p>
    <w:p w:rsidR="00A461A0" w:rsidRPr="00550C53" w:rsidRDefault="00326FE1" w:rsidP="00A461A0">
      <w:pPr>
        <w:ind w:firstLine="284"/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Раздел:</w:t>
      </w:r>
      <w:r w:rsidRPr="00550C53">
        <w:rPr>
          <w:b/>
          <w:sz w:val="56"/>
          <w:szCs w:val="36"/>
        </w:rPr>
        <w:t xml:space="preserve"> </w:t>
      </w:r>
      <w:r w:rsidR="00A461A0" w:rsidRPr="00550C53">
        <w:rPr>
          <w:b/>
          <w:sz w:val="56"/>
          <w:szCs w:val="36"/>
        </w:rPr>
        <w:t>водопроводно-канализационно</w:t>
      </w:r>
      <w:r>
        <w:rPr>
          <w:b/>
          <w:sz w:val="56"/>
          <w:szCs w:val="36"/>
        </w:rPr>
        <w:t>е</w:t>
      </w:r>
      <w:r w:rsidR="00A461A0" w:rsidRPr="00550C53">
        <w:rPr>
          <w:b/>
          <w:sz w:val="56"/>
          <w:szCs w:val="36"/>
        </w:rPr>
        <w:t xml:space="preserve">  хозяйств</w:t>
      </w:r>
      <w:r>
        <w:rPr>
          <w:b/>
          <w:sz w:val="56"/>
          <w:szCs w:val="36"/>
        </w:rPr>
        <w:t>о</w:t>
      </w:r>
      <w:r w:rsidR="00A461A0" w:rsidRPr="00550C53">
        <w:rPr>
          <w:b/>
          <w:sz w:val="56"/>
          <w:szCs w:val="36"/>
        </w:rPr>
        <w:t xml:space="preserve"> </w:t>
      </w:r>
    </w:p>
    <w:p w:rsidR="00A461A0" w:rsidRDefault="00A461A0">
      <w: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589514561"/>
        <w:docPartObj>
          <w:docPartGallery w:val="Table of Contents"/>
          <w:docPartUnique/>
        </w:docPartObj>
      </w:sdtPr>
      <w:sdtContent>
        <w:p w:rsidR="003A1FEB" w:rsidRPr="0012490B" w:rsidRDefault="003A1FEB">
          <w:pPr>
            <w:pStyle w:val="a6"/>
            <w:rPr>
              <w:sz w:val="36"/>
            </w:rPr>
          </w:pPr>
          <w:r w:rsidRPr="0012490B">
            <w:rPr>
              <w:sz w:val="36"/>
            </w:rPr>
            <w:t>Оглавление</w:t>
          </w:r>
        </w:p>
        <w:p w:rsidR="007A0D43" w:rsidRPr="007A0D43" w:rsidRDefault="003A1F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r w:rsidRPr="0012490B">
            <w:rPr>
              <w:sz w:val="36"/>
            </w:rPr>
            <w:fldChar w:fldCharType="begin"/>
          </w:r>
          <w:r w:rsidRPr="0012490B">
            <w:rPr>
              <w:sz w:val="36"/>
            </w:rPr>
            <w:instrText xml:space="preserve"> TOC \o "1-3" \h \z \u </w:instrText>
          </w:r>
          <w:r w:rsidRPr="0012490B">
            <w:rPr>
              <w:sz w:val="36"/>
            </w:rPr>
            <w:fldChar w:fldCharType="separate"/>
          </w:r>
          <w:hyperlink w:anchor="_Toc17380254" w:history="1">
            <w:r w:rsidR="007A0D43" w:rsidRPr="007A0D43">
              <w:rPr>
                <w:rStyle w:val="a7"/>
                <w:noProof/>
                <w:sz w:val="28"/>
                <w:lang w:val="en-US"/>
              </w:rPr>
              <w:t>I</w:t>
            </w:r>
            <w:r w:rsidR="007A0D43" w:rsidRPr="007A0D43">
              <w:rPr>
                <w:rStyle w:val="a7"/>
                <w:noProof/>
                <w:sz w:val="28"/>
              </w:rPr>
              <w:t>. Анализ текущего состояния ВКХ. Анализ действующих мер государственной политики, оценка их влияния на финансово-экономическое положение ВКХ</w:t>
            </w:r>
            <w:r w:rsidR="007A0D43" w:rsidRPr="007A0D43">
              <w:rPr>
                <w:noProof/>
                <w:webHidden/>
                <w:sz w:val="28"/>
              </w:rPr>
              <w:tab/>
            </w:r>
            <w:r w:rsidR="007A0D43" w:rsidRPr="007A0D43">
              <w:rPr>
                <w:noProof/>
                <w:webHidden/>
                <w:sz w:val="28"/>
              </w:rPr>
              <w:fldChar w:fldCharType="begin"/>
            </w:r>
            <w:r w:rsidR="007A0D43" w:rsidRPr="007A0D43">
              <w:rPr>
                <w:noProof/>
                <w:webHidden/>
                <w:sz w:val="28"/>
              </w:rPr>
              <w:instrText xml:space="preserve"> PAGEREF _Toc17380254 \h </w:instrText>
            </w:r>
            <w:r w:rsidR="007A0D43" w:rsidRPr="007A0D43">
              <w:rPr>
                <w:noProof/>
                <w:webHidden/>
                <w:sz w:val="28"/>
              </w:rPr>
            </w:r>
            <w:r w:rsidR="007A0D43" w:rsidRPr="007A0D43">
              <w:rPr>
                <w:noProof/>
                <w:webHidden/>
                <w:sz w:val="28"/>
              </w:rPr>
              <w:fldChar w:fldCharType="separate"/>
            </w:r>
            <w:r w:rsidR="007A0D43" w:rsidRPr="007A0D43">
              <w:rPr>
                <w:noProof/>
                <w:webHidden/>
                <w:sz w:val="28"/>
              </w:rPr>
              <w:t>3</w:t>
            </w:r>
            <w:r w:rsidR="007A0D43"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55" w:history="1">
            <w:r w:rsidRPr="007A0D43">
              <w:rPr>
                <w:rStyle w:val="a7"/>
                <w:noProof/>
                <w:sz w:val="28"/>
                <w:lang w:val="en-US"/>
              </w:rPr>
              <w:t>II</w:t>
            </w:r>
            <w:r w:rsidRPr="007A0D43">
              <w:rPr>
                <w:rStyle w:val="a7"/>
                <w:noProof/>
                <w:sz w:val="28"/>
              </w:rPr>
              <w:t>. Определение целей и задач, стоящих перед отраслью.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_Toc17380255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13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56" w:history="1">
            <w:r w:rsidRPr="007A0D43">
              <w:rPr>
                <w:rStyle w:val="a7"/>
                <w:noProof/>
                <w:sz w:val="28"/>
                <w:lang w:val="en-US"/>
              </w:rPr>
              <w:t>III</w:t>
            </w:r>
            <w:r w:rsidRPr="007A0D43">
              <w:rPr>
                <w:rStyle w:val="a7"/>
                <w:noProof/>
                <w:sz w:val="28"/>
              </w:rPr>
              <w:t>. Основные направления развития ВКХ, направленные на реализацию поставленных задач.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_Toc17380256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16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57" w:history="1">
            <w:r w:rsidRPr="007A0D43">
              <w:rPr>
                <w:rStyle w:val="a7"/>
                <w:noProof/>
                <w:sz w:val="28"/>
              </w:rPr>
              <w:t>1.Нормативное регулирование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_Toc17380257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16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58" w:history="1">
            <w:r w:rsidRPr="007A0D43">
              <w:rPr>
                <w:rStyle w:val="a7"/>
                <w:noProof/>
                <w:sz w:val="28"/>
              </w:rPr>
              <w:t>1.2 Техническое регулирование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_Toc17380258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25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59" w:history="1">
            <w:r w:rsidRPr="007A0D43">
              <w:rPr>
                <w:rStyle w:val="a7"/>
                <w:noProof/>
                <w:sz w:val="28"/>
              </w:rPr>
              <w:t>1.3 Синхронизация норм отраслевого законодательства с другими отраслями права: жилищным, природоохранным, санитарным законодательством.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_Toc17380259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25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60" w:history="1">
            <w:r w:rsidRPr="007A0D43">
              <w:rPr>
                <w:rStyle w:val="a7"/>
                <w:noProof/>
                <w:sz w:val="28"/>
              </w:rPr>
              <w:t>2. Финансово-инвестиционное обеспечение задач Стратегии ВКХ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_Toc17380260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28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61" w:history="1">
            <w:r w:rsidRPr="007A0D43">
              <w:rPr>
                <w:rStyle w:val="a7"/>
                <w:noProof/>
                <w:sz w:val="28"/>
              </w:rPr>
              <w:t>2.1 Совершенствование тарифной политики (включая обеспечение доступности тарифов для населения и предоставления льгот и субсидий потребителям), направленное на обеспечение выполнения задач Стратегии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_Toc17380261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28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62" w:history="1">
            <w:r w:rsidRPr="007A0D43">
              <w:rPr>
                <w:rStyle w:val="a7"/>
                <w:noProof/>
                <w:sz w:val="28"/>
              </w:rPr>
              <w:t>2.2 Обеспечение механизмов привлечения заемных средств с учетом отраслевой специфики.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_Toc17380262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29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63" w:history="1">
            <w:r w:rsidRPr="007A0D43">
              <w:rPr>
                <w:rStyle w:val="a7"/>
                <w:noProof/>
                <w:sz w:val="28"/>
              </w:rPr>
              <w:t>2.3 Создание благоприятного инвестиционного климата в ВКХ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_Toc17380263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31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64" w:history="1">
            <w:r w:rsidRPr="007A0D43">
              <w:rPr>
                <w:rStyle w:val="a7"/>
                <w:noProof/>
                <w:sz w:val="28"/>
              </w:rPr>
              <w:t>2.4 Совершенствование государственной поддержки развития ВКХ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_Toc17380264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34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Pr="007A0D43" w:rsidRDefault="007A0D4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7380265" w:history="1">
            <w:r w:rsidRPr="007A0D43">
              <w:rPr>
                <w:rStyle w:val="a7"/>
                <w:noProof/>
                <w:sz w:val="28"/>
              </w:rPr>
              <w:t>3. Создание научно-производственного комплекса, предусматривающего привязку научных центров и центров производства по технологиям и производственной базе, механизм привлечения инвестиций в научно-исследовательские разработки.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_Toc17380265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36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7A0D43" w:rsidRDefault="007A0D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7380266" w:history="1">
            <w:r w:rsidRPr="007A0D43">
              <w:rPr>
                <w:rStyle w:val="a7"/>
                <w:rFonts w:eastAsiaTheme="minorHAnsi"/>
                <w:noProof/>
                <w:sz w:val="28"/>
                <w:lang w:val="en-US"/>
              </w:rPr>
              <w:t>IV</w:t>
            </w:r>
            <w:r w:rsidRPr="007A0D43">
              <w:rPr>
                <w:rStyle w:val="a7"/>
                <w:rFonts w:eastAsiaTheme="minorHAnsi"/>
                <w:noProof/>
                <w:sz w:val="28"/>
              </w:rPr>
              <w:t>. Оценка необходимых объемов ресурсного обеспечения реализации мероприятий стратегии развития отрасли.</w:t>
            </w:r>
            <w:r w:rsidRPr="007A0D43">
              <w:rPr>
                <w:noProof/>
                <w:webHidden/>
                <w:sz w:val="28"/>
              </w:rPr>
              <w:tab/>
            </w:r>
            <w:r w:rsidRPr="007A0D43">
              <w:rPr>
                <w:noProof/>
                <w:webHidden/>
                <w:sz w:val="28"/>
              </w:rPr>
              <w:fldChar w:fldCharType="begin"/>
            </w:r>
            <w:r w:rsidRPr="007A0D43">
              <w:rPr>
                <w:noProof/>
                <w:webHidden/>
                <w:sz w:val="28"/>
              </w:rPr>
              <w:instrText xml:space="preserve"> PAGEREF _Toc17380266 \h </w:instrText>
            </w:r>
            <w:r w:rsidRPr="007A0D43">
              <w:rPr>
                <w:noProof/>
                <w:webHidden/>
                <w:sz w:val="28"/>
              </w:rPr>
            </w:r>
            <w:r w:rsidRPr="007A0D43">
              <w:rPr>
                <w:noProof/>
                <w:webHidden/>
                <w:sz w:val="28"/>
              </w:rPr>
              <w:fldChar w:fldCharType="separate"/>
            </w:r>
            <w:r w:rsidRPr="007A0D43">
              <w:rPr>
                <w:noProof/>
                <w:webHidden/>
                <w:sz w:val="28"/>
              </w:rPr>
              <w:t>38</w:t>
            </w:r>
            <w:r w:rsidRPr="007A0D43">
              <w:rPr>
                <w:noProof/>
                <w:webHidden/>
                <w:sz w:val="28"/>
              </w:rPr>
              <w:fldChar w:fldCharType="end"/>
            </w:r>
          </w:hyperlink>
        </w:p>
        <w:p w:rsidR="003A1FEB" w:rsidRDefault="003A1FEB">
          <w:r w:rsidRPr="0012490B">
            <w:rPr>
              <w:b/>
              <w:bCs/>
              <w:sz w:val="36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12490B" w:rsidRDefault="0012490B">
      <w:pPr>
        <w:rPr>
          <w:sz w:val="28"/>
        </w:rPr>
      </w:pPr>
      <w:r>
        <w:rPr>
          <w:sz w:val="28"/>
        </w:rPr>
        <w:br w:type="page"/>
      </w:r>
    </w:p>
    <w:p w:rsidR="00E5478D" w:rsidRDefault="00497CA2" w:rsidP="002B481A">
      <w:pPr>
        <w:pStyle w:val="1"/>
        <w:jc w:val="center"/>
      </w:pPr>
      <w:bookmarkStart w:id="1" w:name="_Toc17380254"/>
      <w:proofErr w:type="gramStart"/>
      <w:r>
        <w:rPr>
          <w:lang w:val="en-US"/>
        </w:rPr>
        <w:lastRenderedPageBreak/>
        <w:t>I</w:t>
      </w:r>
      <w:r w:rsidR="008665F6">
        <w:t xml:space="preserve">. </w:t>
      </w:r>
      <w:r w:rsidR="008665F6" w:rsidRPr="008665F6">
        <w:t>Анализ текущего состояния ВКХ.</w:t>
      </w:r>
      <w:proofErr w:type="gramEnd"/>
      <w:r w:rsidR="008665F6" w:rsidRPr="008665F6">
        <w:t xml:space="preserve"> Анализ действующих мер государственной политики, оценка их влияния на финансово-экономическое положение ВКХ</w:t>
      </w:r>
      <w:bookmarkEnd w:id="1"/>
    </w:p>
    <w:p w:rsidR="000523E1" w:rsidRDefault="000523E1" w:rsidP="000523E1">
      <w:pPr>
        <w:ind w:firstLine="708"/>
        <w:jc w:val="both"/>
        <w:rPr>
          <w:rFonts w:cs="Calibri"/>
          <w:sz w:val="28"/>
          <w:szCs w:val="28"/>
        </w:rPr>
      </w:pPr>
    </w:p>
    <w:p w:rsidR="00E27DAB" w:rsidRPr="000523E1" w:rsidRDefault="00E27DAB" w:rsidP="00E27DAB">
      <w:pPr>
        <w:ind w:firstLine="708"/>
        <w:jc w:val="both"/>
        <w:rPr>
          <w:rFonts w:cs="Calibri"/>
          <w:sz w:val="28"/>
          <w:szCs w:val="28"/>
        </w:rPr>
      </w:pPr>
      <w:r w:rsidRPr="000523E1">
        <w:rPr>
          <w:rFonts w:cs="Calibri"/>
          <w:sz w:val="28"/>
          <w:szCs w:val="28"/>
        </w:rPr>
        <w:t xml:space="preserve">Потребителями услуг водопроводно-канализационного хозяйства (ВКХ) являются более 118 млн. человек по водоснабжению и более 90 млн. человек по водоотведению. Таким образом, 80 % жителей РФ обеспечено услугами централизованного водоснабжения, из них лишь 61 % - услугами водоотведения. </w:t>
      </w:r>
    </w:p>
    <w:p w:rsidR="00E27DAB" w:rsidRPr="000523E1" w:rsidRDefault="00E27DAB" w:rsidP="00E27DAB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0523E1">
        <w:rPr>
          <w:rFonts w:eastAsia="Times New Roman"/>
          <w:b/>
          <w:sz w:val="28"/>
          <w:szCs w:val="28"/>
          <w:lang w:eastAsia="ru-RU"/>
        </w:rPr>
        <w:t>Объем потребления и качество питьевой воды</w:t>
      </w:r>
    </w:p>
    <w:p w:rsidR="00E27DAB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>Состояние ВКХ характеризуется падением потребления водных ресурсов через системы централизованного водоснабжения и количества сточных вод, попадающих в системы централизованного водоотведения (рис. 1): за 1</w:t>
      </w:r>
      <w:r>
        <w:rPr>
          <w:rFonts w:eastAsia="Times New Roman"/>
          <w:sz w:val="28"/>
          <w:szCs w:val="28"/>
          <w:lang w:eastAsia="ru-RU"/>
        </w:rPr>
        <w:t>7</w:t>
      </w:r>
      <w:r w:rsidRPr="000523E1">
        <w:rPr>
          <w:rFonts w:eastAsia="Times New Roman"/>
          <w:sz w:val="28"/>
          <w:szCs w:val="28"/>
          <w:lang w:eastAsia="ru-RU"/>
        </w:rPr>
        <w:t xml:space="preserve"> лет (с 200</w:t>
      </w:r>
      <w:r>
        <w:rPr>
          <w:rFonts w:eastAsia="Times New Roman"/>
          <w:sz w:val="28"/>
          <w:szCs w:val="28"/>
          <w:lang w:eastAsia="ru-RU"/>
        </w:rPr>
        <w:t>2</w:t>
      </w:r>
      <w:r w:rsidRPr="000523E1">
        <w:rPr>
          <w:rFonts w:eastAsia="Times New Roman"/>
          <w:sz w:val="28"/>
          <w:szCs w:val="28"/>
          <w:lang w:eastAsia="ru-RU"/>
        </w:rPr>
        <w:t xml:space="preserve"> по 201</w:t>
      </w:r>
      <w:r>
        <w:rPr>
          <w:rFonts w:eastAsia="Times New Roman"/>
          <w:sz w:val="28"/>
          <w:szCs w:val="28"/>
          <w:lang w:eastAsia="ru-RU"/>
        </w:rPr>
        <w:t>8 гг.</w:t>
      </w:r>
      <w:r w:rsidRPr="000523E1">
        <w:rPr>
          <w:rFonts w:eastAsia="Times New Roman"/>
          <w:sz w:val="28"/>
          <w:szCs w:val="28"/>
          <w:lang w:eastAsia="ru-RU"/>
        </w:rPr>
        <w:t>) потребление воды и прием стоков сократилось на 1/3. Количество обслуживаемого населения и жилого фонда при этом увеличивается: население за 10 лет (с 2007 по 2016) - более</w:t>
      </w:r>
      <w:proofErr w:type="gramStart"/>
      <w:r w:rsidRPr="000523E1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0523E1">
        <w:rPr>
          <w:rFonts w:eastAsia="Times New Roman"/>
          <w:sz w:val="28"/>
          <w:szCs w:val="28"/>
          <w:lang w:eastAsia="ru-RU"/>
        </w:rPr>
        <w:t xml:space="preserve"> чем на 6,5 %: количество жителей на 7,6 млн. человек и 5,5 млн. человек с доступом к системам водоснабжения и водоотведения соответственно.</w:t>
      </w:r>
    </w:p>
    <w:p w:rsidR="00E27DAB" w:rsidRDefault="00E27DAB" w:rsidP="00E27DA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E6C11D" wp14:editId="2B8B4257">
            <wp:extent cx="5969000" cy="4762500"/>
            <wp:effectExtent l="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7DAB" w:rsidRPr="000523E1" w:rsidRDefault="00E27DAB" w:rsidP="00E27DA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87CBE0D" wp14:editId="0493C647">
            <wp:extent cx="5962650" cy="4895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>Оценка обеспечения населения качественной питьевой водой не опирается на достоверную статистическую информацию. Основные данные в части обеспечения населения качественной питьевой водой основываются на ежегодном Государственном докладе Федеральной службы по надзору в сфере защиты прав потребителей и благополучия человека.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Согласно этому докладу, в РФ ежегодно улучшается ситуация с обеспечением населения качественной питьевой водой. При этом доля населения, обеспеченного питьевой водой, соответствующей требованиям безопасности, проживающего в городских поселениях, увеличилась на 0,6 % и составила в 2017 году 96,0 %, в сельских – на 0,8 % (78,3 % в 2017 г.). 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Требования к качеству питьевой воды систем водоснабжения фактически являются тождественным понятием безопасности питьевой воды, что отвечает статьям ФЗ-52 «О Санитарно-эпидемиологическом благополучии населения». Вместе с тем, статистика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Роспотребнадзора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 в </w:t>
      </w:r>
      <w:r w:rsidRPr="000523E1">
        <w:rPr>
          <w:rFonts w:eastAsia="Times New Roman"/>
          <w:sz w:val="28"/>
          <w:szCs w:val="28"/>
          <w:lang w:eastAsia="ru-RU"/>
        </w:rPr>
        <w:lastRenderedPageBreak/>
        <w:t xml:space="preserve">части качества питьевой воды не соотносится с бесперебойностью обеспечения населения услугой водоснабжения. 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Действующая форма статистической отчетности «1-водопровод» требует при заполнении формы указывать объем воды, прошедший очистные сооружения водопровода. </w:t>
      </w:r>
      <w:r w:rsidRPr="000523E1">
        <w:rPr>
          <w:rFonts w:eastAsia="Times New Roman"/>
          <w:i/>
          <w:sz w:val="28"/>
          <w:szCs w:val="28"/>
          <w:lang w:eastAsia="ru-RU"/>
        </w:rPr>
        <w:t xml:space="preserve">Вода считается пропущенной через очистные сооружения независимо от имеющегося их состава. Вода, прошедшая только хлорирование, не считается пропущенной через очистные сооружения. Далее выделяется количество нормативно очищенной, в соответствии с </w:t>
      </w:r>
      <w:proofErr w:type="spellStart"/>
      <w:r w:rsidRPr="000523E1">
        <w:rPr>
          <w:rFonts w:eastAsia="Times New Roman"/>
          <w:i/>
          <w:sz w:val="28"/>
          <w:szCs w:val="28"/>
          <w:lang w:eastAsia="ru-RU"/>
        </w:rPr>
        <w:t>гигиеническиеми</w:t>
      </w:r>
      <w:proofErr w:type="spellEnd"/>
      <w:r w:rsidRPr="000523E1">
        <w:rPr>
          <w:rFonts w:eastAsia="Times New Roman"/>
          <w:i/>
          <w:sz w:val="28"/>
          <w:szCs w:val="28"/>
          <w:lang w:eastAsia="ru-RU"/>
        </w:rPr>
        <w:t xml:space="preserve"> требованиями к питьевой воде централизованных систем питьевого водоснабжения.</w:t>
      </w:r>
      <w:r w:rsidRPr="000523E1">
        <w:rPr>
          <w:rFonts w:eastAsia="Times New Roman"/>
          <w:sz w:val="28"/>
          <w:szCs w:val="28"/>
          <w:lang w:eastAsia="ru-RU"/>
        </w:rPr>
        <w:t xml:space="preserve"> Фактически, данные статистики по качеству питьевой воды централизованных систем дают показатель 60,2%, который не учитывает реальное состояние в области водоснабжения и обозначает только те объемы воды, которые перед подачей в распределительную сеть прошли сооружения водоподготовки. Учитывая тот факт, что подземные воды и часть поверхностных вод не нуждаются в водоподготовке, за исключением обеззараживания, статистические данные заведомо не информативны. Кроме того, не учитывается ситуация с потерей качества воды при прохождении через распределительную сеть.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55"/>
        <w:gridCol w:w="3340"/>
        <w:gridCol w:w="1420"/>
        <w:gridCol w:w="1941"/>
      </w:tblGrid>
      <w:tr w:rsidR="00E27DAB" w:rsidRPr="000523E1" w:rsidTr="002F0FE8">
        <w:trPr>
          <w:trHeight w:val="30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Пропущено воды через очистные сооружения (201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0523E1">
              <w:rPr>
                <w:rFonts w:eastAsia="Times New Roman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0523E1">
              <w:rPr>
                <w:rFonts w:eastAsia="Times New Roman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23E1">
              <w:rPr>
                <w:rFonts w:eastAsia="Times New Roman" w:cs="Arial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523E1">
              <w:rPr>
                <w:rFonts w:eastAsia="Times New Roman" w:cs="Arial"/>
                <w:b/>
                <w:sz w:val="24"/>
                <w:szCs w:val="24"/>
                <w:lang w:eastAsia="ru-RU"/>
              </w:rPr>
              <w:t>уб.м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0523E1">
              <w:rPr>
                <w:rFonts w:eastAsia="Times New Roman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Arial"/>
                <w:b/>
                <w:sz w:val="24"/>
                <w:szCs w:val="24"/>
                <w:lang w:eastAsia="ru-RU"/>
              </w:rPr>
              <w:t> </w:t>
            </w:r>
            <w:r w:rsidRPr="000523E1">
              <w:rPr>
                <w:rFonts w:eastAsia="Times New Roman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Arial"/>
                <w:b/>
                <w:sz w:val="24"/>
                <w:szCs w:val="24"/>
                <w:lang w:eastAsia="ru-RU"/>
              </w:rPr>
              <w:t>09 433</w:t>
            </w:r>
          </w:p>
        </w:tc>
      </w:tr>
      <w:tr w:rsidR="00E27DAB" w:rsidRPr="000523E1" w:rsidTr="002F0FE8">
        <w:trPr>
          <w:trHeight w:val="30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из нее:  нормативно очищенная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.к</w:t>
            </w:r>
            <w:proofErr w:type="gramEnd"/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уб.м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7 1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317</w:t>
            </w:r>
          </w:p>
        </w:tc>
      </w:tr>
      <w:tr w:rsidR="00E27DAB" w:rsidRPr="000523E1" w:rsidTr="002F0FE8">
        <w:trPr>
          <w:trHeight w:val="30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gramStart"/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в % к количеству поданной в сеть воды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523E1">
              <w:rPr>
                <w:rFonts w:eastAsia="Times New Roman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59,7 %</w:t>
            </w:r>
          </w:p>
        </w:tc>
      </w:tr>
    </w:tbl>
    <w:p w:rsidR="00E27DAB" w:rsidRPr="000523E1" w:rsidRDefault="00E27DAB" w:rsidP="00E27DAB">
      <w:pPr>
        <w:ind w:firstLine="426"/>
        <w:jc w:val="both"/>
        <w:rPr>
          <w:rFonts w:cs="Arial"/>
          <w:sz w:val="24"/>
          <w:szCs w:val="24"/>
        </w:rPr>
      </w:pP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К питьевой воде централизованных систем водоснабжения невозможно предъявить требования по качеству, само водоснабжение населения является услугой, а не товаром. Таким образом, </w:t>
      </w:r>
      <w:r w:rsidRPr="000523E1">
        <w:rPr>
          <w:rFonts w:eastAsia="Times New Roman"/>
          <w:i/>
          <w:sz w:val="28"/>
          <w:szCs w:val="28"/>
          <w:lang w:eastAsia="ru-RU"/>
        </w:rPr>
        <w:t>практически отсутствуют формы статистической отчетности, позволяющие описать качество предоставляемой услуги централизованного питьевого водоснабжения</w:t>
      </w:r>
      <w:r w:rsidRPr="000523E1">
        <w:rPr>
          <w:rFonts w:eastAsia="Times New Roman"/>
          <w:sz w:val="28"/>
          <w:szCs w:val="28"/>
          <w:lang w:eastAsia="ru-RU"/>
        </w:rPr>
        <w:t xml:space="preserve">. 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Дополнительным аспектом регулирования является необходимость осуществлять водоснабжение из водного источника, соответствующего требованиям к источникам питьевого водоснабжения. Проблема в том, что деградация поверхностных водных источников (65% водоснабжения нашей страны) теоретически выводит их из статуса источников питьевого водоснабжения, что, в свою очередь, согласно действующему </w:t>
      </w:r>
      <w:r w:rsidRPr="000523E1">
        <w:rPr>
          <w:rFonts w:eastAsia="Times New Roman"/>
          <w:sz w:val="28"/>
          <w:szCs w:val="28"/>
          <w:lang w:eastAsia="ru-RU"/>
        </w:rPr>
        <w:lastRenderedPageBreak/>
        <w:t xml:space="preserve">законодательству требует от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Роспотребнадзора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 формирование требований по прекращению использования данного водного источника. Необходимо внести изменения в требования к водным источникам, позволяющие учесть современные технологические возможности водоподготовки, т.е. возможность предоставлени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0523E1">
        <w:rPr>
          <w:rFonts w:eastAsia="Times New Roman"/>
          <w:sz w:val="28"/>
          <w:szCs w:val="28"/>
          <w:lang w:eastAsia="ru-RU"/>
        </w:rPr>
        <w:t xml:space="preserve"> качественной услуги централизованного питьевого водоснабжения из источника, вода которого не соответствует требованиям к питьевой воде источников водоснабжения.</w:t>
      </w:r>
    </w:p>
    <w:p w:rsidR="00E27DAB" w:rsidRPr="000523E1" w:rsidRDefault="00E27DAB" w:rsidP="00E27DAB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0523E1">
        <w:rPr>
          <w:rFonts w:eastAsia="Times New Roman"/>
          <w:b/>
          <w:sz w:val="28"/>
          <w:szCs w:val="28"/>
          <w:lang w:eastAsia="ru-RU"/>
        </w:rPr>
        <w:t>Инфраструктура водоснабжения и водоотведения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>Увеличение площади жилого фонда, имеющего доступ к централизованным системам водоснабжения и водоотведения, приводит к расширению сетевого хозяйства и увеличению его мощности. Площадь обслуживаемого жилого фонда увеличилась на 25 %, протяженность сетей – на 8,9 % (с 200</w:t>
      </w:r>
      <w:r>
        <w:rPr>
          <w:rFonts w:eastAsia="Times New Roman"/>
          <w:sz w:val="28"/>
          <w:szCs w:val="28"/>
          <w:lang w:eastAsia="ru-RU"/>
        </w:rPr>
        <w:t>8</w:t>
      </w:r>
      <w:r w:rsidRPr="000523E1">
        <w:rPr>
          <w:rFonts w:eastAsia="Times New Roman"/>
          <w:sz w:val="28"/>
          <w:szCs w:val="28"/>
          <w:lang w:eastAsia="ru-RU"/>
        </w:rPr>
        <w:t xml:space="preserve"> по 201</w:t>
      </w:r>
      <w:r>
        <w:rPr>
          <w:rFonts w:eastAsia="Times New Roman"/>
          <w:sz w:val="28"/>
          <w:szCs w:val="28"/>
          <w:lang w:eastAsia="ru-RU"/>
        </w:rPr>
        <w:t>8</w:t>
      </w:r>
      <w:r w:rsidRPr="000523E1">
        <w:rPr>
          <w:rFonts w:eastAsia="Times New Roman"/>
          <w:sz w:val="28"/>
          <w:szCs w:val="28"/>
          <w:lang w:eastAsia="ru-RU"/>
        </w:rPr>
        <w:t xml:space="preserve">), а средняя производственная мощность уменьшилась на </w:t>
      </w:r>
      <w:r>
        <w:rPr>
          <w:rFonts w:eastAsia="Times New Roman"/>
          <w:sz w:val="28"/>
          <w:szCs w:val="28"/>
          <w:lang w:eastAsia="ru-RU"/>
        </w:rPr>
        <w:t>3,8</w:t>
      </w:r>
      <w:r w:rsidRPr="000523E1">
        <w:rPr>
          <w:rFonts w:eastAsia="Times New Roman"/>
          <w:sz w:val="28"/>
          <w:szCs w:val="28"/>
          <w:lang w:eastAsia="ru-RU"/>
        </w:rPr>
        <w:t xml:space="preserve"> % (</w:t>
      </w:r>
      <w:proofErr w:type="gramStart"/>
      <w:r w:rsidRPr="000523E1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0523E1">
        <w:rPr>
          <w:rFonts w:eastAsia="Times New Roman"/>
          <w:sz w:val="28"/>
          <w:szCs w:val="28"/>
          <w:lang w:eastAsia="ru-RU"/>
        </w:rPr>
        <w:t xml:space="preserve"> 2008 по 201</w:t>
      </w:r>
      <w:r>
        <w:rPr>
          <w:rFonts w:eastAsia="Times New Roman"/>
          <w:sz w:val="28"/>
          <w:szCs w:val="28"/>
          <w:lang w:eastAsia="ru-RU"/>
        </w:rPr>
        <w:t>8</w:t>
      </w:r>
      <w:r w:rsidRPr="000523E1">
        <w:rPr>
          <w:rFonts w:eastAsia="Times New Roman"/>
          <w:sz w:val="28"/>
          <w:szCs w:val="28"/>
          <w:lang w:eastAsia="ru-RU"/>
        </w:rPr>
        <w:t>).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Плавный как экстенсивный, так и интенсивный рост инфраструктуры ВКХ обеспечивается инвестициями в среднем в </w:t>
      </w:r>
      <w:r>
        <w:rPr>
          <w:rFonts w:eastAsia="Times New Roman"/>
          <w:sz w:val="28"/>
          <w:szCs w:val="28"/>
          <w:lang w:eastAsia="ru-RU"/>
        </w:rPr>
        <w:t>88,0</w:t>
      </w:r>
      <w:r w:rsidRPr="000523E1">
        <w:rPr>
          <w:rFonts w:eastAsia="Times New Roman"/>
          <w:sz w:val="28"/>
          <w:szCs w:val="28"/>
          <w:lang w:eastAsia="ru-RU"/>
        </w:rPr>
        <w:t xml:space="preserve"> млрд. рублей/год (2</w:t>
      </w:r>
      <w:r>
        <w:rPr>
          <w:rFonts w:eastAsia="Times New Roman"/>
          <w:sz w:val="28"/>
          <w:szCs w:val="28"/>
          <w:lang w:eastAsia="ru-RU"/>
        </w:rPr>
        <w:t>2</w:t>
      </w:r>
      <w:r w:rsidRPr="000523E1">
        <w:rPr>
          <w:rFonts w:eastAsia="Times New Roman"/>
          <w:sz w:val="28"/>
          <w:szCs w:val="28"/>
          <w:lang w:eastAsia="ru-RU"/>
        </w:rPr>
        <w:t xml:space="preserve"> % от выручки); при этом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софинансирование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 государства в отрасль составляет в среднем </w:t>
      </w:r>
      <w:r>
        <w:rPr>
          <w:rFonts w:eastAsia="Times New Roman"/>
          <w:sz w:val="28"/>
          <w:szCs w:val="28"/>
          <w:lang w:eastAsia="ru-RU"/>
        </w:rPr>
        <w:t>23,36</w:t>
      </w:r>
      <w:r w:rsidRPr="000523E1">
        <w:rPr>
          <w:rFonts w:eastAsia="Times New Roman"/>
          <w:sz w:val="28"/>
          <w:szCs w:val="28"/>
          <w:lang w:eastAsia="ru-RU"/>
        </w:rPr>
        <w:t xml:space="preserve"> млрд.  рублей/год (</w:t>
      </w:r>
      <w:r>
        <w:rPr>
          <w:rFonts w:eastAsia="Times New Roman"/>
          <w:sz w:val="28"/>
          <w:szCs w:val="28"/>
          <w:lang w:eastAsia="ru-RU"/>
        </w:rPr>
        <w:t>5,7</w:t>
      </w:r>
      <w:r w:rsidRPr="000523E1">
        <w:rPr>
          <w:rFonts w:eastAsia="Times New Roman"/>
          <w:sz w:val="28"/>
          <w:szCs w:val="28"/>
          <w:lang w:eastAsia="ru-RU"/>
        </w:rPr>
        <w:t xml:space="preserve"> % от выручки) и имеет неравномерный характер: с 201</w:t>
      </w:r>
      <w:r>
        <w:rPr>
          <w:rFonts w:eastAsia="Times New Roman"/>
          <w:sz w:val="28"/>
          <w:szCs w:val="28"/>
          <w:lang w:eastAsia="ru-RU"/>
        </w:rPr>
        <w:t>8</w:t>
      </w:r>
      <w:r w:rsidRPr="000523E1">
        <w:rPr>
          <w:rFonts w:eastAsia="Times New Roman"/>
          <w:sz w:val="28"/>
          <w:szCs w:val="28"/>
          <w:lang w:eastAsia="ru-RU"/>
        </w:rPr>
        <w:t xml:space="preserve"> года среднегодовые объемы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софинансирования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 существенно уменьшились, более чем в 6,6 раза, а с 2015 года увеличились в </w:t>
      </w:r>
      <w:r>
        <w:rPr>
          <w:rFonts w:eastAsia="Times New Roman"/>
          <w:sz w:val="28"/>
          <w:szCs w:val="28"/>
          <w:lang w:eastAsia="ru-RU"/>
        </w:rPr>
        <w:t>1,3</w:t>
      </w:r>
      <w:r w:rsidRPr="000523E1">
        <w:rPr>
          <w:rFonts w:eastAsia="Times New Roman"/>
          <w:sz w:val="28"/>
          <w:szCs w:val="28"/>
          <w:lang w:eastAsia="ru-RU"/>
        </w:rPr>
        <w:t xml:space="preserve"> раза (рис. 2).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8F6CAE" wp14:editId="72491F02">
            <wp:extent cx="5608320" cy="4171950"/>
            <wp:effectExtent l="0" t="0" r="1143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>Надежность водоснабжения и водоотведения улучшается (снижается количество повреждений и аварий), что, однако, вызывается уменьшением давления в сетях, связанным с падением объемов потребления, а не капитальными инвестициями. Ежегодно производится замена 1,1 % от общего протяжения водопроводных сетей и 0,4% от общего протяжения сетей водоотведения при необходимом минимальном ежегодном обновлении сетей водоснабжения и водоотведения - 3%.</w:t>
      </w:r>
    </w:p>
    <w:p w:rsidR="00E27DAB" w:rsidRPr="000523E1" w:rsidRDefault="00E27DAB" w:rsidP="00E27DA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523E1">
        <w:rPr>
          <w:rFonts w:ascii="Times New Roman" w:hAnsi="Times New Roman"/>
          <w:b/>
          <w:sz w:val="28"/>
          <w:szCs w:val="28"/>
        </w:rPr>
        <w:t>Финансовые показатели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>Финансовые показатели деятельности показывают, что в целом ВКХ является убыточной. Хотя с 2006 по 2011 годы финансовый результат по водоотведению был положителен, выручка, формируемая в отрасли, не покрывала затрат. Начиная с 2012 года, происходит резкое ухудшение финансового положения отрасли: максимальный совокупный чистый убыток составил 22,24 млрд. рублей в 2015 году. Падение выручки за 2010 год составило 10,5 %, что привело к тому, что более 80% организаций ВКХ сегодня являются убыточными.</w:t>
      </w:r>
    </w:p>
    <w:p w:rsidR="00E27DAB" w:rsidRPr="000523E1" w:rsidRDefault="00E27DAB" w:rsidP="00E27DA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377AB9" wp14:editId="3D6BF3BC">
            <wp:extent cx="5520690" cy="4050030"/>
            <wp:effectExtent l="0" t="0" r="381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7DAB" w:rsidRPr="000523E1" w:rsidRDefault="00E27DAB" w:rsidP="00E27DAB">
      <w:pPr>
        <w:jc w:val="both"/>
        <w:rPr>
          <w:rFonts w:eastAsia="Times New Roman"/>
          <w:sz w:val="28"/>
          <w:szCs w:val="28"/>
          <w:lang w:eastAsia="ru-RU"/>
        </w:rPr>
      </w:pPr>
    </w:p>
    <w:p w:rsidR="00E27DAB" w:rsidRPr="000523E1" w:rsidRDefault="00E27DAB" w:rsidP="00E27DA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7235C1" wp14:editId="458531BD">
            <wp:extent cx="5940425" cy="3452495"/>
            <wp:effectExtent l="0" t="0" r="317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Описанная депрессивная динамика развития отрасли носит системный характер. Ее преодоление не может решаться посредством точечных изменений в регулировании, а государственная поддержка отрасли не </w:t>
      </w:r>
      <w:r w:rsidRPr="000523E1">
        <w:rPr>
          <w:rFonts w:eastAsia="Times New Roman"/>
          <w:sz w:val="28"/>
          <w:szCs w:val="28"/>
          <w:lang w:eastAsia="ru-RU"/>
        </w:rPr>
        <w:lastRenderedPageBreak/>
        <w:t xml:space="preserve">может ограничиваться проектным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софинансированием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 ряда инвестиционных мероприятий. 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Прежде </w:t>
      </w:r>
      <w:proofErr w:type="gramStart"/>
      <w:r w:rsidRPr="000523E1">
        <w:rPr>
          <w:rFonts w:eastAsia="Times New Roman"/>
          <w:sz w:val="28"/>
          <w:szCs w:val="28"/>
          <w:lang w:eastAsia="ru-RU"/>
        </w:rPr>
        <w:t>всего</w:t>
      </w:r>
      <w:proofErr w:type="gramEnd"/>
      <w:r w:rsidRPr="000523E1">
        <w:rPr>
          <w:rFonts w:eastAsia="Times New Roman"/>
          <w:sz w:val="28"/>
          <w:szCs w:val="28"/>
          <w:lang w:eastAsia="ru-RU"/>
        </w:rPr>
        <w:t xml:space="preserve"> значительный негативный вклад в функционирование ВКХ вносит </w:t>
      </w:r>
      <w:r w:rsidRPr="000523E1">
        <w:rPr>
          <w:rFonts w:eastAsia="Times New Roman"/>
          <w:i/>
          <w:sz w:val="28"/>
          <w:szCs w:val="28"/>
          <w:u w:val="single"/>
          <w:lang w:eastAsia="ru-RU"/>
        </w:rPr>
        <w:t>дисбаланс развития отрасли в коммунальном комплексе</w:t>
      </w:r>
      <w:r w:rsidRPr="000523E1">
        <w:rPr>
          <w:rFonts w:eastAsia="Times New Roman"/>
          <w:sz w:val="28"/>
          <w:szCs w:val="28"/>
          <w:lang w:eastAsia="ru-RU"/>
        </w:rPr>
        <w:t>. Проводимая государством политика сдерживания тарифов из всех сфер коммунального комплекса в первую очередь применялась именно в отношении водоснабжения и водоотведения. Так, средний рост тарифов для населения за три года (201</w:t>
      </w:r>
      <w:r>
        <w:rPr>
          <w:rFonts w:eastAsia="Times New Roman"/>
          <w:sz w:val="28"/>
          <w:szCs w:val="28"/>
          <w:lang w:eastAsia="ru-RU"/>
        </w:rPr>
        <w:t>7</w:t>
      </w:r>
      <w:r w:rsidRPr="000523E1">
        <w:rPr>
          <w:rFonts w:eastAsia="Times New Roman"/>
          <w:sz w:val="28"/>
          <w:szCs w:val="28"/>
          <w:lang w:eastAsia="ru-RU"/>
        </w:rPr>
        <w:t>-201</w:t>
      </w:r>
      <w:r>
        <w:rPr>
          <w:rFonts w:eastAsia="Times New Roman"/>
          <w:sz w:val="28"/>
          <w:szCs w:val="28"/>
          <w:lang w:eastAsia="ru-RU"/>
        </w:rPr>
        <w:t>4</w:t>
      </w:r>
      <w:r w:rsidRPr="000523E1">
        <w:rPr>
          <w:rFonts w:eastAsia="Times New Roman"/>
          <w:sz w:val="28"/>
          <w:szCs w:val="28"/>
          <w:lang w:eastAsia="ru-RU"/>
        </w:rPr>
        <w:t xml:space="preserve">) по газу: </w:t>
      </w:r>
      <w:r>
        <w:rPr>
          <w:rFonts w:eastAsia="Times New Roman"/>
          <w:sz w:val="28"/>
          <w:szCs w:val="28"/>
          <w:lang w:eastAsia="ru-RU"/>
        </w:rPr>
        <w:t>11</w:t>
      </w:r>
      <w:r w:rsidRPr="000523E1">
        <w:rPr>
          <w:rFonts w:eastAsia="Times New Roman"/>
          <w:sz w:val="28"/>
          <w:szCs w:val="28"/>
          <w:lang w:eastAsia="ru-RU"/>
        </w:rPr>
        <w:t xml:space="preserve">%; по электроэнергии: </w:t>
      </w:r>
      <w:r>
        <w:rPr>
          <w:rFonts w:eastAsia="Times New Roman"/>
          <w:sz w:val="28"/>
          <w:szCs w:val="28"/>
          <w:lang w:eastAsia="ru-RU"/>
        </w:rPr>
        <w:t>17</w:t>
      </w:r>
      <w:r w:rsidRPr="000523E1">
        <w:rPr>
          <w:rFonts w:eastAsia="Times New Roman"/>
          <w:sz w:val="28"/>
          <w:szCs w:val="28"/>
          <w:lang w:eastAsia="ru-RU"/>
        </w:rPr>
        <w:t xml:space="preserve">%; по теплу: </w:t>
      </w:r>
      <w:r>
        <w:rPr>
          <w:rFonts w:eastAsia="Times New Roman"/>
          <w:sz w:val="28"/>
          <w:szCs w:val="28"/>
          <w:lang w:eastAsia="ru-RU"/>
        </w:rPr>
        <w:t>20</w:t>
      </w:r>
      <w:r w:rsidRPr="000523E1">
        <w:rPr>
          <w:rFonts w:eastAsia="Times New Roman"/>
          <w:sz w:val="28"/>
          <w:szCs w:val="28"/>
          <w:lang w:eastAsia="ru-RU"/>
        </w:rPr>
        <w:t xml:space="preserve">%; </w:t>
      </w:r>
      <w:proofErr w:type="gramStart"/>
      <w:r w:rsidRPr="000523E1">
        <w:rPr>
          <w:rFonts w:eastAsia="Times New Roman"/>
          <w:sz w:val="28"/>
          <w:szCs w:val="28"/>
          <w:lang w:eastAsia="ru-RU"/>
        </w:rPr>
        <w:t xml:space="preserve">и по воде и стокам: </w:t>
      </w:r>
      <w:r>
        <w:rPr>
          <w:rFonts w:eastAsia="Times New Roman"/>
          <w:sz w:val="28"/>
          <w:szCs w:val="28"/>
          <w:lang w:eastAsia="ru-RU"/>
        </w:rPr>
        <w:t>26</w:t>
      </w:r>
      <w:r w:rsidRPr="000523E1">
        <w:rPr>
          <w:rFonts w:eastAsia="Times New Roman"/>
          <w:sz w:val="28"/>
          <w:szCs w:val="28"/>
          <w:lang w:eastAsia="ru-RU"/>
        </w:rPr>
        <w:t xml:space="preserve">%. Сдерживание темпов роста тарифов на услуги холодного водоснабжения и водоотведения в 2011-2013 годах в сочетании с падением потребления услуг водоснабжения и водоотведения привело к снижению средних темпов роста выручки по сравнению с индексом 2011/2010 на 6,6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п.п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.; инвестиционных расходов – на 4,3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п.п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0523E1">
        <w:rPr>
          <w:rFonts w:eastAsia="Times New Roman"/>
          <w:sz w:val="28"/>
          <w:szCs w:val="28"/>
          <w:lang w:eastAsia="ru-RU"/>
        </w:rPr>
        <w:t xml:space="preserve"> Это привело к ухудшению финансового положения отрасли (</w:t>
      </w:r>
      <w:r>
        <w:rPr>
          <w:rFonts w:eastAsia="Times New Roman"/>
          <w:sz w:val="28"/>
          <w:szCs w:val="28"/>
          <w:lang w:eastAsia="ru-RU"/>
        </w:rPr>
        <w:t>11</w:t>
      </w:r>
      <w:r w:rsidRPr="000523E1">
        <w:rPr>
          <w:rFonts w:eastAsia="Times New Roman"/>
          <w:sz w:val="28"/>
          <w:szCs w:val="28"/>
          <w:lang w:eastAsia="ru-RU"/>
        </w:rPr>
        <w:t>,75 млрд</w:t>
      </w:r>
      <w:r>
        <w:rPr>
          <w:rFonts w:eastAsia="Times New Roman"/>
          <w:sz w:val="28"/>
          <w:szCs w:val="28"/>
          <w:lang w:eastAsia="ru-RU"/>
        </w:rPr>
        <w:t>.</w:t>
      </w:r>
      <w:r w:rsidRPr="000523E1">
        <w:rPr>
          <w:rFonts w:eastAsia="Times New Roman"/>
          <w:sz w:val="28"/>
          <w:szCs w:val="28"/>
          <w:lang w:eastAsia="ru-RU"/>
        </w:rPr>
        <w:t xml:space="preserve"> чистого убытка </w:t>
      </w:r>
      <w:proofErr w:type="gramStart"/>
      <w:r w:rsidRPr="000523E1">
        <w:rPr>
          <w:rFonts w:eastAsia="Times New Roman"/>
          <w:sz w:val="28"/>
          <w:szCs w:val="28"/>
          <w:lang w:eastAsia="ru-RU"/>
        </w:rPr>
        <w:t>на конец</w:t>
      </w:r>
      <w:proofErr w:type="gramEnd"/>
      <w:r w:rsidRPr="000523E1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>8</w:t>
      </w:r>
      <w:r w:rsidRPr="000523E1">
        <w:rPr>
          <w:rFonts w:eastAsia="Times New Roman"/>
          <w:sz w:val="28"/>
          <w:szCs w:val="28"/>
          <w:lang w:eastAsia="ru-RU"/>
        </w:rPr>
        <w:t xml:space="preserve"> года), невыполнения отраслевых соглашений по оплате труда, роста задолженности за энергоресурсы, ухудшения условий кредитования, что может дополнительно увеличить масштабы сокращения инвестиций.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Второй основополагающей проблемой, носящей системный характер, является </w:t>
      </w:r>
      <w:r w:rsidRPr="000523E1">
        <w:rPr>
          <w:rFonts w:eastAsia="Times New Roman"/>
          <w:i/>
          <w:sz w:val="28"/>
          <w:szCs w:val="28"/>
          <w:u w:val="single"/>
          <w:lang w:eastAsia="ru-RU"/>
        </w:rPr>
        <w:t>отсутствие баланса между потребностями ВКХ в развитии и возможностями финансового обеспечения этого развития</w:t>
      </w:r>
      <w:r w:rsidRPr="000523E1">
        <w:rPr>
          <w:rFonts w:eastAsia="Times New Roman"/>
          <w:sz w:val="28"/>
          <w:szCs w:val="28"/>
          <w:lang w:eastAsia="ru-RU"/>
        </w:rPr>
        <w:t xml:space="preserve">. 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Соотношение операционных и инвестиционных расходов остается на едином уровне: в интервале 17-20% инвестиционных расходов на 83-80% операционных. На практике процесс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тарифообразования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 в отрасли представляет собой обоснование необходимых расходов (как операционных, так и инвестиционных), исходя из предельного индекса, а не из баланса потребность-возможность. </w:t>
      </w:r>
    </w:p>
    <w:p w:rsidR="00E27DAB" w:rsidRPr="000523E1" w:rsidRDefault="00E27DAB" w:rsidP="00E27DAB">
      <w:pPr>
        <w:ind w:firstLine="567"/>
        <w:jc w:val="both"/>
      </w:pPr>
      <w:r w:rsidRPr="000523E1">
        <w:rPr>
          <w:rFonts w:eastAsia="Times New Roman"/>
          <w:sz w:val="28"/>
          <w:szCs w:val="28"/>
          <w:lang w:eastAsia="ru-RU"/>
        </w:rPr>
        <w:t>При этом рынок банковского кредитования для организаций ВКХ, как правило, намного дороже среднего уровня ввиду отрицательной рентабельности отрасли (-</w:t>
      </w:r>
      <w:r>
        <w:rPr>
          <w:rFonts w:eastAsia="Times New Roman"/>
          <w:sz w:val="28"/>
          <w:szCs w:val="28"/>
          <w:lang w:eastAsia="ru-RU"/>
        </w:rPr>
        <w:t>1,94</w:t>
      </w:r>
      <w:r w:rsidRPr="000523E1">
        <w:rPr>
          <w:rFonts w:eastAsia="Times New Roman"/>
          <w:sz w:val="28"/>
          <w:szCs w:val="28"/>
          <w:lang w:eastAsia="ru-RU"/>
        </w:rPr>
        <w:t xml:space="preserve"> % по водоснабжению и -</w:t>
      </w:r>
      <w:r>
        <w:rPr>
          <w:rFonts w:eastAsia="Times New Roman"/>
          <w:sz w:val="28"/>
          <w:szCs w:val="28"/>
          <w:lang w:eastAsia="ru-RU"/>
        </w:rPr>
        <w:t>4,16</w:t>
      </w:r>
      <w:r w:rsidRPr="000523E1">
        <w:rPr>
          <w:rFonts w:eastAsia="Times New Roman"/>
          <w:sz w:val="28"/>
          <w:szCs w:val="28"/>
          <w:lang w:eastAsia="ru-RU"/>
        </w:rPr>
        <w:t xml:space="preserve">% по водоотведению). Это приводит к сохранению низкой инвестиционной привлекательности отрасли,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маргинализации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 отношений между регулируемыми организациями и регулирующими органами, а также невозможностью управлять развитием отрасли на основе объективной оценки динамики по целевым показателям.</w:t>
      </w:r>
      <w:r w:rsidRPr="000523E1">
        <w:t xml:space="preserve"> 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lastRenderedPageBreak/>
        <w:t xml:space="preserve">Третью системную проблему составляют </w:t>
      </w:r>
      <w:r w:rsidRPr="000523E1">
        <w:rPr>
          <w:rFonts w:eastAsia="Times New Roman"/>
          <w:i/>
          <w:sz w:val="28"/>
          <w:szCs w:val="28"/>
          <w:u w:val="single"/>
          <w:lang w:eastAsia="ru-RU"/>
        </w:rPr>
        <w:t>инвестиционные риски, создаваемые затянувшейся реформой управления организациями ВКХ</w:t>
      </w:r>
      <w:r w:rsidRPr="000523E1">
        <w:rPr>
          <w:rFonts w:eastAsia="Times New Roman"/>
          <w:sz w:val="28"/>
          <w:szCs w:val="28"/>
          <w:lang w:eastAsia="ru-RU"/>
        </w:rPr>
        <w:t xml:space="preserve">. 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В настоящее время предусматриваются две формы управления  организациями ВКХ: посредством создания муниципального (государственного) казенного предприятия или на основе концессионного соглашения. По состоянию на 31.12.2017 в отношении объектов инфраструктуры ВКХ заключены концессионные соглашения с общим объемом инвестиций 122 </w:t>
      </w:r>
      <w:proofErr w:type="gramStart"/>
      <w:r w:rsidRPr="000523E1">
        <w:rPr>
          <w:rFonts w:eastAsia="Times New Roman"/>
          <w:sz w:val="28"/>
          <w:szCs w:val="28"/>
          <w:lang w:eastAsia="ru-RU"/>
        </w:rPr>
        <w:t>млрд</w:t>
      </w:r>
      <w:proofErr w:type="gramEnd"/>
      <w:r w:rsidRPr="000523E1">
        <w:rPr>
          <w:rFonts w:eastAsia="Times New Roman"/>
          <w:sz w:val="28"/>
          <w:szCs w:val="28"/>
          <w:lang w:eastAsia="ru-RU"/>
        </w:rPr>
        <w:t xml:space="preserve"> рублей. На 2017 год было запланировано 2,7 млрд. рублей инвестиций по концессионным соглашениям, из которых реально </w:t>
      </w:r>
      <w:proofErr w:type="spellStart"/>
      <w:r w:rsidRPr="000523E1">
        <w:rPr>
          <w:rFonts w:eastAsia="Times New Roman"/>
          <w:sz w:val="28"/>
          <w:szCs w:val="28"/>
          <w:lang w:eastAsia="ru-RU"/>
        </w:rPr>
        <w:t>проинвестировано</w:t>
      </w:r>
      <w:proofErr w:type="spellEnd"/>
      <w:r w:rsidRPr="000523E1">
        <w:rPr>
          <w:rFonts w:eastAsia="Times New Roman"/>
          <w:sz w:val="28"/>
          <w:szCs w:val="28"/>
          <w:lang w:eastAsia="ru-RU"/>
        </w:rPr>
        <w:t xml:space="preserve"> 45%.</w:t>
      </w:r>
    </w:p>
    <w:tbl>
      <w:tblPr>
        <w:tblW w:w="93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7"/>
        <w:gridCol w:w="1701"/>
        <w:gridCol w:w="1560"/>
        <w:gridCol w:w="2693"/>
      </w:tblGrid>
      <w:tr w:rsidR="00E27DAB" w:rsidRPr="000523E1" w:rsidTr="002F0FE8">
        <w:trPr>
          <w:trHeight w:val="684"/>
        </w:trPr>
        <w:tc>
          <w:tcPr>
            <w:tcW w:w="937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 xml:space="preserve">Вложение инвестиций в инфраструктуру ВКХ в 2017 году, </w:t>
            </w:r>
            <w:proofErr w:type="gramStart"/>
            <w:r w:rsidRPr="000523E1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млрд</w:t>
            </w:r>
            <w:proofErr w:type="gramEnd"/>
            <w:r w:rsidRPr="000523E1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 xml:space="preserve"> руб.</w:t>
            </w:r>
          </w:p>
        </w:tc>
      </w:tr>
      <w:tr w:rsidR="00E27DAB" w:rsidRPr="000523E1" w:rsidTr="002F0FE8">
        <w:trPr>
          <w:trHeight w:val="451"/>
        </w:trPr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Факт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Не исполнено, %</w:t>
            </w:r>
          </w:p>
        </w:tc>
      </w:tr>
      <w:tr w:rsidR="00E27DAB" w:rsidRPr="000523E1" w:rsidTr="002F0FE8">
        <w:trPr>
          <w:trHeight w:val="486"/>
        </w:trPr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Водоснабжение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1,753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0,991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36"/>
                <w:lang w:eastAsia="ru-RU"/>
              </w:rPr>
              <w:t>43,47%</w:t>
            </w:r>
          </w:p>
        </w:tc>
      </w:tr>
      <w:tr w:rsidR="00E27DAB" w:rsidRPr="000523E1" w:rsidTr="002F0FE8">
        <w:trPr>
          <w:trHeight w:val="451"/>
        </w:trPr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Водоотведение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1,037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color w:val="000000"/>
                <w:kern w:val="24"/>
                <w:sz w:val="28"/>
                <w:szCs w:val="36"/>
                <w:lang w:eastAsia="ru-RU"/>
              </w:rPr>
              <w:t>0,551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7DAB" w:rsidRPr="000523E1" w:rsidRDefault="00E27DAB" w:rsidP="002F0FE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0523E1">
              <w:rPr>
                <w:rFonts w:eastAsia="Times New Roman" w:cs="Arial"/>
                <w:b/>
                <w:bCs/>
                <w:color w:val="FF0000"/>
                <w:kern w:val="24"/>
                <w:sz w:val="28"/>
                <w:szCs w:val="36"/>
                <w:lang w:eastAsia="ru-RU"/>
              </w:rPr>
              <w:t>46,87%</w:t>
            </w:r>
          </w:p>
        </w:tc>
      </w:tr>
    </w:tbl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>Планы Правительства РФ по трансформации организаций в форме муниципальных (государственных) предприятий в казенные предприятия при запрете акционирования и механизмов государственно-частного партнерства оставляет единственно возможный путь инвестиционного развития через концессионные соглашения. Учитывая, что последние в силу высоких требований и сложности не могут получить широкого распространения в большинстве муниципальных образований, планируемый переход только усугубит положение дел.</w:t>
      </w:r>
    </w:p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 xml:space="preserve">По данным Минстроя России по состоянию на 31.12.2017 в 72 (85 %) субъектах РФ заключено порядка 879 концессионных соглашений в отношении объектов коммунальной инфраструктуры в сфере водоснабжения и водоотведения. </w:t>
      </w:r>
    </w:p>
    <w:p w:rsidR="00E27DAB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523E1">
        <w:rPr>
          <w:rFonts w:eastAsia="Times New Roman"/>
          <w:sz w:val="28"/>
          <w:szCs w:val="28"/>
          <w:lang w:eastAsia="ru-RU"/>
        </w:rPr>
        <w:t>По данным Росстата в 201</w:t>
      </w:r>
      <w:r>
        <w:rPr>
          <w:rFonts w:eastAsia="Times New Roman"/>
          <w:sz w:val="28"/>
          <w:szCs w:val="28"/>
          <w:lang w:eastAsia="ru-RU"/>
        </w:rPr>
        <w:t>8</w:t>
      </w:r>
      <w:r w:rsidRPr="000523E1">
        <w:rPr>
          <w:rFonts w:eastAsia="Times New Roman"/>
          <w:sz w:val="28"/>
          <w:szCs w:val="28"/>
          <w:lang w:eastAsia="ru-RU"/>
        </w:rPr>
        <w:t xml:space="preserve"> году доля водопроводов и отдельных водопроводных сетей, находящихся в концессии, составила </w:t>
      </w:r>
      <w:r>
        <w:rPr>
          <w:rFonts w:eastAsia="Times New Roman"/>
          <w:sz w:val="28"/>
          <w:szCs w:val="28"/>
          <w:lang w:eastAsia="ru-RU"/>
        </w:rPr>
        <w:t>7</w:t>
      </w:r>
      <w:r w:rsidRPr="000523E1">
        <w:rPr>
          <w:rFonts w:eastAsia="Times New Roman"/>
          <w:sz w:val="28"/>
          <w:szCs w:val="28"/>
          <w:lang w:eastAsia="ru-RU"/>
        </w:rPr>
        <w:t xml:space="preserve"> %, доля сетей канализации в концессии составила </w:t>
      </w:r>
      <w:r>
        <w:rPr>
          <w:rFonts w:eastAsia="Times New Roman"/>
          <w:sz w:val="28"/>
          <w:szCs w:val="28"/>
          <w:lang w:eastAsia="ru-RU"/>
        </w:rPr>
        <w:t>8</w:t>
      </w:r>
      <w:r w:rsidRPr="000523E1">
        <w:rPr>
          <w:rFonts w:eastAsia="Times New Roman"/>
          <w:sz w:val="28"/>
          <w:szCs w:val="28"/>
          <w:lang w:eastAsia="ru-RU"/>
        </w:rPr>
        <w:t xml:space="preserve"> %. Динамика прироста </w:t>
      </w:r>
      <w:proofErr w:type="gramStart"/>
      <w:r w:rsidRPr="000523E1">
        <w:rPr>
          <w:rFonts w:eastAsia="Times New Roman"/>
          <w:sz w:val="28"/>
          <w:szCs w:val="28"/>
          <w:lang w:eastAsia="ru-RU"/>
        </w:rPr>
        <w:t>сетей, передаваемых в концессию приведена</w:t>
      </w:r>
      <w:proofErr w:type="gramEnd"/>
      <w:r w:rsidRPr="000523E1">
        <w:rPr>
          <w:rFonts w:eastAsia="Times New Roman"/>
          <w:sz w:val="28"/>
          <w:szCs w:val="28"/>
          <w:lang w:eastAsia="ru-RU"/>
        </w:rPr>
        <w:t xml:space="preserve"> в таблице: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68"/>
        <w:gridCol w:w="868"/>
        <w:gridCol w:w="868"/>
        <w:gridCol w:w="869"/>
        <w:gridCol w:w="868"/>
        <w:gridCol w:w="868"/>
        <w:gridCol w:w="868"/>
        <w:gridCol w:w="869"/>
        <w:gridCol w:w="869"/>
      </w:tblGrid>
      <w:tr w:rsidR="00E27DAB" w:rsidRPr="00E90689" w:rsidTr="002F0FE8">
        <w:trPr>
          <w:trHeight w:val="288"/>
        </w:trPr>
        <w:tc>
          <w:tcPr>
            <w:tcW w:w="1985" w:type="dxa"/>
            <w:shd w:val="clear" w:color="auto" w:fill="9CC2E5"/>
            <w:noWrap/>
            <w:vAlign w:val="bottom"/>
            <w:hideMark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68" w:type="dxa"/>
            <w:shd w:val="clear" w:color="auto" w:fill="9CC2E5"/>
            <w:noWrap/>
            <w:vAlign w:val="center"/>
            <w:hideMark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68" w:type="dxa"/>
            <w:shd w:val="clear" w:color="auto" w:fill="9CC2E5"/>
            <w:noWrap/>
            <w:vAlign w:val="center"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68" w:type="dxa"/>
            <w:shd w:val="clear" w:color="auto" w:fill="9CC2E5"/>
            <w:noWrap/>
            <w:vAlign w:val="center"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69" w:type="dxa"/>
            <w:shd w:val="clear" w:color="auto" w:fill="9CC2E5"/>
            <w:noWrap/>
            <w:vAlign w:val="center"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68" w:type="dxa"/>
            <w:shd w:val="clear" w:color="auto" w:fill="9CC2E5"/>
            <w:noWrap/>
            <w:vAlign w:val="center"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68" w:type="dxa"/>
            <w:shd w:val="clear" w:color="auto" w:fill="9CC2E5"/>
            <w:noWrap/>
            <w:vAlign w:val="center"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68" w:type="dxa"/>
            <w:shd w:val="clear" w:color="auto" w:fill="9CC2E5"/>
            <w:noWrap/>
            <w:vAlign w:val="center"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69" w:type="dxa"/>
            <w:shd w:val="clear" w:color="auto" w:fill="9CC2E5"/>
            <w:noWrap/>
            <w:vAlign w:val="center"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69" w:type="dxa"/>
            <w:shd w:val="clear" w:color="auto" w:fill="9CC2E5"/>
          </w:tcPr>
          <w:p w:rsidR="00E27DAB" w:rsidRPr="00E90689" w:rsidRDefault="00E27DAB" w:rsidP="002F0FE8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Канализационные сети, ед.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11 394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11 404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11 465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11 393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11 538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11 431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11 798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12 123 </w:t>
            </w:r>
          </w:p>
        </w:tc>
        <w:tc>
          <w:tcPr>
            <w:tcW w:w="869" w:type="dxa"/>
            <w:vAlign w:val="center"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12 028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в т. ч. в концессии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428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540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562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512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523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581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722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794 </w:t>
            </w:r>
          </w:p>
        </w:tc>
        <w:tc>
          <w:tcPr>
            <w:tcW w:w="869" w:type="dxa"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933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vMerge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9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69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69" w:type="dxa"/>
            <w:shd w:val="clear" w:color="auto" w:fill="DEEAF6"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8%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Число водопроводов и отдельных водопроводных сетей, ед.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57 392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57 397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57 379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57 085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58 147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58 641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58 576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59 144</w:t>
            </w:r>
          </w:p>
        </w:tc>
        <w:tc>
          <w:tcPr>
            <w:tcW w:w="869" w:type="dxa"/>
            <w:vAlign w:val="center"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59 526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в т. ч. в концессии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1 207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1 335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1 452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1 917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2 868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3 635</w:t>
            </w:r>
          </w:p>
        </w:tc>
        <w:tc>
          <w:tcPr>
            <w:tcW w:w="869" w:type="dxa"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3 914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vMerge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9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9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69" w:type="dxa"/>
            <w:shd w:val="clear" w:color="auto" w:fill="DEEAF6"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7%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Всего, сети водоснабжения и водоотведения, ед.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68 786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68 801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68 844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68 478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69 685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70 072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70 374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71 267 </w:t>
            </w:r>
          </w:p>
        </w:tc>
        <w:tc>
          <w:tcPr>
            <w:tcW w:w="869" w:type="dxa"/>
            <w:vAlign w:val="center"/>
          </w:tcPr>
          <w:p w:rsidR="00E27DAB" w:rsidRPr="00E127DF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127DF">
              <w:rPr>
                <w:rFonts w:eastAsia="Times New Roman" w:cs="Calibri"/>
                <w:b/>
                <w:sz w:val="20"/>
                <w:szCs w:val="20"/>
                <w:lang w:eastAsia="ru-RU"/>
              </w:rPr>
              <w:t>71 554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>в т. ч. в концессии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1 275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1 747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1 897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1 788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1 975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2 498 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3 590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sz w:val="20"/>
                <w:szCs w:val="20"/>
                <w:lang w:eastAsia="ru-RU"/>
              </w:rPr>
              <w:t xml:space="preserve">4 429 </w:t>
            </w:r>
          </w:p>
        </w:tc>
        <w:tc>
          <w:tcPr>
            <w:tcW w:w="869" w:type="dxa"/>
          </w:tcPr>
          <w:p w:rsidR="00E27DAB" w:rsidRPr="00E127DF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E127DF">
              <w:rPr>
                <w:rFonts w:eastAsia="Times New Roman" w:cs="Calibri"/>
                <w:sz w:val="20"/>
                <w:szCs w:val="20"/>
                <w:lang w:eastAsia="ru-RU"/>
              </w:rPr>
              <w:t>4 847</w:t>
            </w:r>
          </w:p>
        </w:tc>
      </w:tr>
      <w:tr w:rsidR="00E27DAB" w:rsidRPr="00E90689" w:rsidTr="002F0FE8">
        <w:trPr>
          <w:trHeight w:val="288"/>
        </w:trPr>
        <w:tc>
          <w:tcPr>
            <w:tcW w:w="1985" w:type="dxa"/>
            <w:vMerge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9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8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9" w:type="dxa"/>
            <w:shd w:val="clear" w:color="auto" w:fill="DEEAF6"/>
            <w:noWrap/>
            <w:vAlign w:val="center"/>
            <w:hideMark/>
          </w:tcPr>
          <w:p w:rsidR="00E27DAB" w:rsidRPr="00E90689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90689">
              <w:rPr>
                <w:rFonts w:eastAsia="Times New Roman" w:cs="Calibri"/>
                <w:b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69" w:type="dxa"/>
            <w:shd w:val="clear" w:color="auto" w:fill="DEEAF6"/>
          </w:tcPr>
          <w:p w:rsidR="00E27DAB" w:rsidRPr="00E127DF" w:rsidRDefault="00E27DAB" w:rsidP="002F0FE8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E127DF">
              <w:rPr>
                <w:rFonts w:eastAsia="Times New Roman" w:cs="Calibri"/>
                <w:b/>
                <w:sz w:val="20"/>
                <w:szCs w:val="20"/>
                <w:lang w:eastAsia="ru-RU"/>
              </w:rPr>
              <w:t>6%</w:t>
            </w:r>
          </w:p>
        </w:tc>
      </w:tr>
    </w:tbl>
    <w:p w:rsidR="00E27DAB" w:rsidRPr="000523E1" w:rsidRDefault="00E27DAB" w:rsidP="00E27DA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27DAB" w:rsidRPr="000523E1" w:rsidRDefault="00E27DAB" w:rsidP="00E27DAB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E27DAB" w:rsidRDefault="00E27DAB" w:rsidP="00E27DAB">
      <w:pPr>
        <w:rPr>
          <w:sz w:val="28"/>
        </w:rPr>
      </w:pPr>
    </w:p>
    <w:p w:rsidR="008665F6" w:rsidRDefault="008665F6">
      <w:pPr>
        <w:rPr>
          <w:sz w:val="28"/>
        </w:rPr>
      </w:pPr>
      <w:r>
        <w:rPr>
          <w:sz w:val="28"/>
        </w:rPr>
        <w:br w:type="page"/>
      </w:r>
    </w:p>
    <w:p w:rsidR="008665F6" w:rsidRDefault="00497CA2" w:rsidP="002B481A">
      <w:pPr>
        <w:pStyle w:val="1"/>
        <w:jc w:val="center"/>
      </w:pPr>
      <w:bookmarkStart w:id="2" w:name="_Toc17380255"/>
      <w:r>
        <w:rPr>
          <w:lang w:val="en-US"/>
        </w:rPr>
        <w:lastRenderedPageBreak/>
        <w:t>II</w:t>
      </w:r>
      <w:r w:rsidR="008665F6">
        <w:t>. Определение целей и задач, стоящих перед отраслью.</w:t>
      </w:r>
      <w:bookmarkEnd w:id="2"/>
    </w:p>
    <w:p w:rsidR="00F03BAA" w:rsidRDefault="00F03BAA" w:rsidP="00F03BAA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03BAA" w:rsidRPr="00F03BAA" w:rsidRDefault="00F03BAA" w:rsidP="00F03BAA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F03BAA">
        <w:rPr>
          <w:rFonts w:asciiTheme="minorHAnsi" w:eastAsiaTheme="minorHAnsi" w:hAnsiTheme="minorHAnsi" w:cstheme="minorBidi"/>
          <w:b/>
          <w:sz w:val="28"/>
          <w:szCs w:val="28"/>
        </w:rPr>
        <w:t>Цель Стратегии</w:t>
      </w:r>
      <w:r w:rsidRPr="00F03BAA">
        <w:rPr>
          <w:rFonts w:asciiTheme="minorHAnsi" w:eastAsiaTheme="minorHAnsi" w:hAnsiTheme="minorHAnsi" w:cstheme="minorBidi"/>
          <w:sz w:val="28"/>
          <w:szCs w:val="28"/>
        </w:rPr>
        <w:t xml:space="preserve">: </w:t>
      </w:r>
      <w:r w:rsidRPr="00F03BAA">
        <w:rPr>
          <w:rFonts w:eastAsia="Times New Roman"/>
          <w:sz w:val="28"/>
          <w:szCs w:val="28"/>
          <w:lang w:eastAsia="ru-RU"/>
        </w:rPr>
        <w:t>Население</w:t>
      </w:r>
      <w:r w:rsidRPr="00F03BAA">
        <w:rPr>
          <w:rFonts w:asciiTheme="minorHAnsi" w:eastAsiaTheme="minorHAnsi" w:hAnsiTheme="minorHAnsi" w:cstheme="minorBidi"/>
          <w:sz w:val="28"/>
          <w:szCs w:val="28"/>
        </w:rPr>
        <w:t xml:space="preserve"> России к 2035 году должно быть обеспечено </w:t>
      </w:r>
      <w:r w:rsidRPr="00497CA2">
        <w:rPr>
          <w:rFonts w:eastAsia="Times New Roman"/>
          <w:sz w:val="28"/>
          <w:szCs w:val="28"/>
          <w:lang w:eastAsia="ru-RU"/>
        </w:rPr>
        <w:t>качественными</w:t>
      </w:r>
      <w:r w:rsidRPr="00F03BAA">
        <w:rPr>
          <w:rFonts w:asciiTheme="minorHAnsi" w:eastAsiaTheme="minorHAnsi" w:hAnsiTheme="minorHAnsi" w:cstheme="minorBidi"/>
          <w:sz w:val="28"/>
          <w:szCs w:val="28"/>
        </w:rPr>
        <w:t xml:space="preserve"> услугами водоснабжения и водоотведения.</w:t>
      </w:r>
    </w:p>
    <w:p w:rsidR="00F03BAA" w:rsidRPr="00F03BAA" w:rsidRDefault="00F03BAA" w:rsidP="00F03BAA">
      <w:pPr>
        <w:ind w:firstLine="284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Задачи</w:t>
      </w:r>
      <w:r w:rsidRPr="00F03BAA">
        <w:rPr>
          <w:rFonts w:asciiTheme="minorHAnsi" w:eastAsiaTheme="minorHAnsi" w:hAnsiTheme="minorHAnsi" w:cstheme="minorBidi"/>
          <w:b/>
          <w:sz w:val="28"/>
          <w:szCs w:val="28"/>
        </w:rPr>
        <w:t xml:space="preserve"> Стратегии:</w:t>
      </w:r>
    </w:p>
    <w:p w:rsidR="00F03BAA" w:rsidRPr="00F03BAA" w:rsidRDefault="00F03BAA" w:rsidP="00F03BAA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F03BAA">
        <w:rPr>
          <w:rFonts w:asciiTheme="minorHAnsi" w:eastAsiaTheme="minorHAnsi" w:hAnsiTheme="minorHAnsi" w:cstheme="minorBidi"/>
          <w:b/>
          <w:sz w:val="28"/>
          <w:szCs w:val="28"/>
        </w:rPr>
        <w:t>К 2035 создать систему, обеспечивающую предоставление качественных услуг водоснабжения с использованием перспективных технологий, учитывая реально сложившиеся экономические возможности сферы ВКХ.</w:t>
      </w:r>
    </w:p>
    <w:p w:rsidR="00F03BAA" w:rsidRDefault="00F03BAA" w:rsidP="00F03BAA">
      <w:pPr>
        <w:ind w:left="884"/>
        <w:contextualSpacing/>
        <w:jc w:val="both"/>
        <w:rPr>
          <w:rFonts w:asciiTheme="minorHAnsi" w:eastAsiaTheme="minorHAnsi" w:hAnsiTheme="minorHAnsi" w:cstheme="minorBidi"/>
          <w:sz w:val="28"/>
        </w:rPr>
      </w:pPr>
      <w:r w:rsidRPr="00F03BAA">
        <w:rPr>
          <w:rFonts w:asciiTheme="minorHAnsi" w:eastAsiaTheme="minorHAnsi" w:hAnsiTheme="minorHAnsi" w:cstheme="minorBidi"/>
          <w:sz w:val="28"/>
          <w:u w:val="single"/>
        </w:rPr>
        <w:t>Качество водоснабжения</w:t>
      </w:r>
      <w:r w:rsidRPr="00F03BAA">
        <w:rPr>
          <w:rFonts w:asciiTheme="minorHAnsi" w:eastAsiaTheme="minorHAnsi" w:hAnsiTheme="minorHAnsi" w:cstheme="minorBidi"/>
          <w:sz w:val="28"/>
        </w:rPr>
        <w:t xml:space="preserve"> определяется санитарно-эпидемиологическими показателями подаваемой воды, надежностью поставок воды, рациональным использованием ресурсов при подготовке и транспортировке воды, минимизацией рисков возникновения аварий на опасных производственных объектах и иных чрезвычайных ситуаций техногенного характера.</w:t>
      </w:r>
    </w:p>
    <w:p w:rsidR="00F03BAA" w:rsidRDefault="00F03BAA" w:rsidP="00F03BAA">
      <w:pPr>
        <w:ind w:left="884"/>
        <w:contextualSpacing/>
        <w:jc w:val="both"/>
        <w:rPr>
          <w:rFonts w:asciiTheme="minorHAnsi" w:eastAsiaTheme="minorHAnsi" w:hAnsiTheme="minorHAnsi" w:cstheme="minorBidi"/>
          <w:sz w:val="28"/>
        </w:rPr>
      </w:pPr>
    </w:p>
    <w:p w:rsidR="00F03BAA" w:rsidRPr="00F03BAA" w:rsidRDefault="00F03BAA" w:rsidP="00F03BAA">
      <w:pPr>
        <w:ind w:left="884"/>
        <w:contextualSpacing/>
        <w:jc w:val="both"/>
        <w:rPr>
          <w:rFonts w:asciiTheme="minorHAnsi" w:eastAsiaTheme="minorHAnsi" w:hAnsiTheme="minorHAnsi" w:cstheme="minorBidi"/>
          <w:sz w:val="28"/>
          <w:u w:val="single"/>
        </w:rPr>
      </w:pPr>
      <w:r w:rsidRPr="00F03BAA">
        <w:rPr>
          <w:rFonts w:asciiTheme="minorHAnsi" w:eastAsiaTheme="minorHAnsi" w:hAnsiTheme="minorHAnsi" w:cstheme="minorBidi"/>
          <w:sz w:val="28"/>
          <w:u w:val="single"/>
        </w:rPr>
        <w:t>Детализация задачи:</w:t>
      </w:r>
    </w:p>
    <w:p w:rsidR="00F03BAA" w:rsidRDefault="005224B1" w:rsidP="005224B1">
      <w:pPr>
        <w:pStyle w:val="a3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>С</w:t>
      </w:r>
      <w:r w:rsidRPr="005224B1">
        <w:rPr>
          <w:rFonts w:asciiTheme="minorHAnsi" w:eastAsiaTheme="minorHAnsi" w:hAnsiTheme="minorHAnsi" w:cstheme="minorBidi"/>
          <w:sz w:val="28"/>
        </w:rPr>
        <w:t>озда</w:t>
      </w:r>
      <w:r>
        <w:rPr>
          <w:rFonts w:asciiTheme="minorHAnsi" w:eastAsiaTheme="minorHAnsi" w:hAnsiTheme="minorHAnsi" w:cstheme="minorBidi"/>
          <w:sz w:val="28"/>
        </w:rPr>
        <w:t>ние</w:t>
      </w:r>
      <w:r w:rsidRPr="005224B1">
        <w:rPr>
          <w:rFonts w:asciiTheme="minorHAnsi" w:eastAsiaTheme="minorHAnsi" w:hAnsiTheme="minorHAnsi" w:cstheme="minorBidi"/>
          <w:sz w:val="28"/>
        </w:rPr>
        <w:t xml:space="preserve"> систем</w:t>
      </w:r>
      <w:r>
        <w:rPr>
          <w:rFonts w:asciiTheme="minorHAnsi" w:eastAsiaTheme="minorHAnsi" w:hAnsiTheme="minorHAnsi" w:cstheme="minorBidi"/>
          <w:sz w:val="28"/>
        </w:rPr>
        <w:t>ы</w:t>
      </w:r>
      <w:r w:rsidRPr="005224B1">
        <w:rPr>
          <w:rFonts w:asciiTheme="minorHAnsi" w:eastAsiaTheme="minorHAnsi" w:hAnsiTheme="minorHAnsi" w:cstheme="minorBidi"/>
          <w:sz w:val="28"/>
        </w:rPr>
        <w:t>, обеспечивающ</w:t>
      </w:r>
      <w:r>
        <w:rPr>
          <w:rFonts w:asciiTheme="minorHAnsi" w:eastAsiaTheme="minorHAnsi" w:hAnsiTheme="minorHAnsi" w:cstheme="minorBidi"/>
          <w:sz w:val="28"/>
        </w:rPr>
        <w:t>ей</w:t>
      </w:r>
      <w:r w:rsidRPr="005224B1">
        <w:rPr>
          <w:rFonts w:asciiTheme="minorHAnsi" w:eastAsiaTheme="minorHAnsi" w:hAnsiTheme="minorHAnsi" w:cstheme="minorBidi"/>
          <w:sz w:val="28"/>
        </w:rPr>
        <w:t xml:space="preserve"> предоставление к</w:t>
      </w:r>
      <w:r>
        <w:rPr>
          <w:rFonts w:asciiTheme="minorHAnsi" w:eastAsiaTheme="minorHAnsi" w:hAnsiTheme="minorHAnsi" w:cstheme="minorBidi"/>
          <w:sz w:val="28"/>
        </w:rPr>
        <w:t>ачественных услуг водоснабжения</w:t>
      </w:r>
      <w:r w:rsidR="00054853">
        <w:rPr>
          <w:rFonts w:asciiTheme="minorHAnsi" w:eastAsiaTheme="minorHAnsi" w:hAnsiTheme="minorHAnsi" w:cstheme="minorBidi"/>
          <w:sz w:val="28"/>
        </w:rPr>
        <w:t>.</w:t>
      </w:r>
    </w:p>
    <w:p w:rsidR="00F03BAA" w:rsidRDefault="005224B1" w:rsidP="005224B1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>Повышение качества воды в</w:t>
      </w:r>
      <w:r w:rsidR="00F03BAA">
        <w:rPr>
          <w:rFonts w:asciiTheme="minorHAnsi" w:eastAsiaTheme="minorHAnsi" w:hAnsiTheme="minorHAnsi" w:cstheme="minorBidi"/>
          <w:sz w:val="28"/>
        </w:rPr>
        <w:t xml:space="preserve"> </w:t>
      </w:r>
      <w:proofErr w:type="spellStart"/>
      <w:r w:rsidR="00F03BAA">
        <w:rPr>
          <w:rFonts w:asciiTheme="minorHAnsi" w:eastAsiaTheme="minorHAnsi" w:hAnsiTheme="minorHAnsi" w:cstheme="minorBidi"/>
          <w:sz w:val="28"/>
        </w:rPr>
        <w:t>водоисточниках</w:t>
      </w:r>
      <w:proofErr w:type="spellEnd"/>
      <w:r w:rsidR="00F03BAA">
        <w:rPr>
          <w:rFonts w:asciiTheme="minorHAnsi" w:eastAsiaTheme="minorHAnsi" w:hAnsiTheme="minorHAnsi" w:cstheme="minorBidi"/>
          <w:sz w:val="28"/>
        </w:rPr>
        <w:t>.</w:t>
      </w:r>
    </w:p>
    <w:p w:rsidR="00F03BAA" w:rsidRPr="00F03BAA" w:rsidRDefault="00F03BAA" w:rsidP="00F03BAA">
      <w:pPr>
        <w:ind w:left="1087" w:firstLine="532"/>
        <w:contextualSpacing/>
        <w:jc w:val="both"/>
        <w:rPr>
          <w:rFonts w:asciiTheme="minorHAnsi" w:eastAsiaTheme="minorHAnsi" w:hAnsiTheme="minorHAnsi" w:cstheme="minorBidi"/>
          <w:sz w:val="28"/>
        </w:rPr>
      </w:pPr>
      <w:r w:rsidRPr="00F03BAA">
        <w:rPr>
          <w:rFonts w:asciiTheme="minorHAnsi" w:eastAsiaTheme="minorHAnsi" w:hAnsiTheme="minorHAnsi" w:cstheme="minorBidi"/>
          <w:sz w:val="28"/>
        </w:rPr>
        <w:t>1.1.1 поверхностн</w:t>
      </w:r>
      <w:r>
        <w:rPr>
          <w:rFonts w:asciiTheme="minorHAnsi" w:eastAsiaTheme="minorHAnsi" w:hAnsiTheme="minorHAnsi" w:cstheme="minorBidi"/>
          <w:sz w:val="28"/>
        </w:rPr>
        <w:t>ых</w:t>
      </w:r>
    </w:p>
    <w:p w:rsidR="00F03BAA" w:rsidRPr="00F03BAA" w:rsidRDefault="00F03BAA" w:rsidP="00F03BAA">
      <w:pPr>
        <w:ind w:left="1087" w:firstLine="532"/>
        <w:contextualSpacing/>
        <w:jc w:val="both"/>
        <w:rPr>
          <w:rFonts w:asciiTheme="minorHAnsi" w:eastAsiaTheme="minorHAnsi" w:hAnsiTheme="minorHAnsi" w:cstheme="minorBidi"/>
          <w:sz w:val="28"/>
        </w:rPr>
      </w:pPr>
      <w:r w:rsidRPr="00F03BAA">
        <w:rPr>
          <w:rFonts w:asciiTheme="minorHAnsi" w:eastAsiaTheme="minorHAnsi" w:hAnsiTheme="minorHAnsi" w:cstheme="minorBidi"/>
          <w:sz w:val="28"/>
        </w:rPr>
        <w:t>1.1.2 подземн</w:t>
      </w:r>
      <w:r>
        <w:rPr>
          <w:rFonts w:asciiTheme="minorHAnsi" w:eastAsiaTheme="minorHAnsi" w:hAnsiTheme="minorHAnsi" w:cstheme="minorBidi"/>
          <w:sz w:val="28"/>
        </w:rPr>
        <w:t>ых</w:t>
      </w:r>
    </w:p>
    <w:p w:rsidR="005224B1" w:rsidRDefault="00F03BAA" w:rsidP="00054853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. </w:t>
      </w:r>
      <w:r w:rsidRPr="00F03BAA">
        <w:rPr>
          <w:rFonts w:asciiTheme="minorHAnsi" w:eastAsiaTheme="minorHAnsi" w:hAnsiTheme="minorHAnsi" w:cstheme="minorBidi"/>
          <w:sz w:val="28"/>
        </w:rPr>
        <w:t>Достижение качества</w:t>
      </w:r>
      <w:r w:rsidR="005224B1">
        <w:rPr>
          <w:rFonts w:asciiTheme="minorHAnsi" w:eastAsiaTheme="minorHAnsi" w:hAnsiTheme="minorHAnsi" w:cstheme="minorBidi"/>
          <w:sz w:val="28"/>
        </w:rPr>
        <w:t xml:space="preserve">, </w:t>
      </w:r>
      <w:r w:rsidR="005224B1" w:rsidRPr="005224B1">
        <w:rPr>
          <w:rFonts w:asciiTheme="minorHAnsi" w:eastAsiaTheme="minorHAnsi" w:hAnsiTheme="minorHAnsi" w:cstheme="minorBidi"/>
          <w:sz w:val="28"/>
        </w:rPr>
        <w:t>бесперебойност</w:t>
      </w:r>
      <w:r w:rsidR="005224B1">
        <w:rPr>
          <w:rFonts w:asciiTheme="minorHAnsi" w:eastAsiaTheme="minorHAnsi" w:hAnsiTheme="minorHAnsi" w:cstheme="minorBidi"/>
          <w:sz w:val="28"/>
        </w:rPr>
        <w:t>и</w:t>
      </w:r>
      <w:r w:rsidR="005224B1" w:rsidRPr="005224B1">
        <w:rPr>
          <w:rFonts w:asciiTheme="minorHAnsi" w:eastAsiaTheme="minorHAnsi" w:hAnsiTheme="minorHAnsi" w:cstheme="minorBidi"/>
          <w:sz w:val="28"/>
        </w:rPr>
        <w:t>, надежност</w:t>
      </w:r>
      <w:r w:rsidR="005224B1">
        <w:rPr>
          <w:rFonts w:asciiTheme="minorHAnsi" w:eastAsiaTheme="minorHAnsi" w:hAnsiTheme="minorHAnsi" w:cstheme="minorBidi"/>
          <w:sz w:val="28"/>
        </w:rPr>
        <w:t xml:space="preserve">и </w:t>
      </w:r>
      <w:r w:rsidR="00054853">
        <w:rPr>
          <w:rFonts w:asciiTheme="minorHAnsi" w:eastAsiaTheme="minorHAnsi" w:hAnsiTheme="minorHAnsi" w:cstheme="minorBidi"/>
          <w:sz w:val="28"/>
        </w:rPr>
        <w:t xml:space="preserve">в централизованных системах </w:t>
      </w:r>
      <w:r w:rsidR="005224B1">
        <w:rPr>
          <w:rFonts w:asciiTheme="minorHAnsi" w:eastAsiaTheme="minorHAnsi" w:hAnsiTheme="minorHAnsi" w:cstheme="minorBidi"/>
          <w:sz w:val="28"/>
        </w:rPr>
        <w:t>водоснабжения</w:t>
      </w:r>
      <w:r w:rsidR="005224B1" w:rsidRPr="00F03BAA">
        <w:rPr>
          <w:rFonts w:asciiTheme="minorHAnsi" w:eastAsiaTheme="minorHAnsi" w:hAnsiTheme="minorHAnsi" w:cstheme="minorBidi"/>
          <w:sz w:val="28"/>
        </w:rPr>
        <w:t xml:space="preserve"> </w:t>
      </w:r>
      <w:proofErr w:type="gramStart"/>
      <w:r w:rsidR="005224B1">
        <w:rPr>
          <w:rFonts w:asciiTheme="minorHAnsi" w:eastAsiaTheme="minorHAnsi" w:hAnsiTheme="minorHAnsi" w:cstheme="minorBidi"/>
          <w:sz w:val="28"/>
        </w:rPr>
        <w:t>при</w:t>
      </w:r>
      <w:proofErr w:type="gramEnd"/>
      <w:r w:rsidR="005224B1">
        <w:rPr>
          <w:rFonts w:asciiTheme="minorHAnsi" w:eastAsiaTheme="minorHAnsi" w:hAnsiTheme="minorHAnsi" w:cstheme="minorBidi"/>
          <w:sz w:val="28"/>
        </w:rPr>
        <w:t>:</w:t>
      </w:r>
    </w:p>
    <w:p w:rsidR="005224B1" w:rsidRDefault="00F03BAA" w:rsidP="005224B1">
      <w:pPr>
        <w:ind w:left="1087" w:firstLine="532"/>
        <w:contextualSpacing/>
        <w:jc w:val="both"/>
        <w:rPr>
          <w:rFonts w:asciiTheme="minorHAnsi" w:eastAsiaTheme="minorHAnsi" w:hAnsiTheme="minorHAnsi" w:cstheme="minorBidi"/>
          <w:sz w:val="28"/>
        </w:rPr>
      </w:pPr>
      <w:r w:rsidRPr="00F03BAA">
        <w:rPr>
          <w:rFonts w:asciiTheme="minorHAnsi" w:eastAsiaTheme="minorHAnsi" w:hAnsiTheme="minorHAnsi" w:cstheme="minorBidi"/>
          <w:sz w:val="28"/>
        </w:rPr>
        <w:t>1.2</w:t>
      </w:r>
      <w:r w:rsidR="005224B1">
        <w:rPr>
          <w:rFonts w:asciiTheme="minorHAnsi" w:eastAsiaTheme="minorHAnsi" w:hAnsiTheme="minorHAnsi" w:cstheme="minorBidi"/>
          <w:sz w:val="28"/>
        </w:rPr>
        <w:t>.1</w:t>
      </w:r>
      <w:r w:rsidRPr="00F03BAA">
        <w:rPr>
          <w:rFonts w:asciiTheme="minorHAnsi" w:eastAsiaTheme="minorHAnsi" w:hAnsiTheme="minorHAnsi" w:cstheme="minorBidi"/>
          <w:sz w:val="28"/>
        </w:rPr>
        <w:t xml:space="preserve"> водоподготовк</w:t>
      </w:r>
      <w:r w:rsidR="005224B1">
        <w:rPr>
          <w:rFonts w:asciiTheme="minorHAnsi" w:eastAsiaTheme="minorHAnsi" w:hAnsiTheme="minorHAnsi" w:cstheme="minorBidi"/>
          <w:sz w:val="28"/>
        </w:rPr>
        <w:t>е (включая подъем)</w:t>
      </w:r>
    </w:p>
    <w:p w:rsidR="00F03BAA" w:rsidRDefault="005224B1" w:rsidP="005224B1">
      <w:pPr>
        <w:ind w:left="1087" w:firstLine="532"/>
        <w:contextualSpacing/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>1.2.2 транспортировке</w:t>
      </w:r>
    </w:p>
    <w:p w:rsidR="00054853" w:rsidRPr="00BE4796" w:rsidRDefault="00054853" w:rsidP="00BE4796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 Достижение качества водоснабжения при н</w:t>
      </w:r>
      <w:r w:rsidR="00324912">
        <w:rPr>
          <w:rFonts w:asciiTheme="minorHAnsi" w:eastAsiaTheme="minorHAnsi" w:hAnsiTheme="minorHAnsi" w:cstheme="minorBidi"/>
          <w:sz w:val="28"/>
        </w:rPr>
        <w:t>ецентрализованном водоснабжении.</w:t>
      </w:r>
    </w:p>
    <w:p w:rsidR="00F03BAA" w:rsidRPr="00F03BAA" w:rsidRDefault="00F03BAA" w:rsidP="00324912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 w:rsidRPr="00F03BAA">
        <w:rPr>
          <w:rFonts w:asciiTheme="minorHAnsi" w:eastAsiaTheme="minorHAnsi" w:hAnsiTheme="minorHAnsi" w:cstheme="minorBidi"/>
          <w:sz w:val="28"/>
        </w:rPr>
        <w:t xml:space="preserve"> Обеспечение доступности</w:t>
      </w:r>
      <w:r w:rsidR="00324912">
        <w:rPr>
          <w:rFonts w:asciiTheme="minorHAnsi" w:eastAsiaTheme="minorHAnsi" w:hAnsiTheme="minorHAnsi" w:cstheme="minorBidi"/>
          <w:sz w:val="28"/>
        </w:rPr>
        <w:t xml:space="preserve"> водоснабжения для населения</w:t>
      </w:r>
    </w:p>
    <w:p w:rsidR="00F03BAA" w:rsidRPr="00F03BAA" w:rsidRDefault="00324912" w:rsidP="00324912">
      <w:pPr>
        <w:ind w:left="1087" w:firstLine="532"/>
        <w:contextualSpacing/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>1</w:t>
      </w:r>
      <w:r w:rsidR="00F03BAA" w:rsidRPr="00F03BAA">
        <w:rPr>
          <w:rFonts w:asciiTheme="minorHAnsi" w:eastAsiaTheme="minorHAnsi" w:hAnsiTheme="minorHAnsi" w:cstheme="minorBidi"/>
          <w:sz w:val="28"/>
        </w:rPr>
        <w:t>.</w:t>
      </w:r>
      <w:r w:rsidR="00BE4796">
        <w:rPr>
          <w:rFonts w:asciiTheme="minorHAnsi" w:eastAsiaTheme="minorHAnsi" w:hAnsiTheme="minorHAnsi" w:cstheme="minorBidi"/>
          <w:sz w:val="28"/>
        </w:rPr>
        <w:t>4</w:t>
      </w:r>
      <w:r>
        <w:rPr>
          <w:rFonts w:asciiTheme="minorHAnsi" w:eastAsiaTheme="minorHAnsi" w:hAnsiTheme="minorHAnsi" w:cstheme="minorBidi"/>
          <w:sz w:val="28"/>
        </w:rPr>
        <w:t>.1</w:t>
      </w:r>
      <w:r w:rsidR="00F03BAA" w:rsidRPr="00F03BAA">
        <w:rPr>
          <w:rFonts w:asciiTheme="minorHAnsi" w:eastAsiaTheme="minorHAnsi" w:hAnsiTheme="minorHAnsi" w:cstheme="minorBidi"/>
          <w:sz w:val="28"/>
        </w:rPr>
        <w:t xml:space="preserve"> Расширение охвата </w:t>
      </w:r>
      <w:r>
        <w:rPr>
          <w:rFonts w:asciiTheme="minorHAnsi" w:eastAsiaTheme="minorHAnsi" w:hAnsiTheme="minorHAnsi" w:cstheme="minorBidi"/>
          <w:sz w:val="28"/>
        </w:rPr>
        <w:t>системами централизованного водоснабжения</w:t>
      </w:r>
    </w:p>
    <w:p w:rsidR="00F03BAA" w:rsidRDefault="00324912" w:rsidP="00324912">
      <w:pPr>
        <w:ind w:left="1087" w:firstLine="532"/>
        <w:contextualSpacing/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lastRenderedPageBreak/>
        <w:t>1.</w:t>
      </w:r>
      <w:r w:rsidR="00BE4796">
        <w:rPr>
          <w:rFonts w:asciiTheme="minorHAnsi" w:eastAsiaTheme="minorHAnsi" w:hAnsiTheme="minorHAnsi" w:cstheme="minorBidi"/>
          <w:sz w:val="28"/>
        </w:rPr>
        <w:t>4</w:t>
      </w:r>
      <w:r>
        <w:rPr>
          <w:rFonts w:asciiTheme="minorHAnsi" w:eastAsiaTheme="minorHAnsi" w:hAnsiTheme="minorHAnsi" w:cstheme="minorBidi"/>
          <w:sz w:val="28"/>
        </w:rPr>
        <w:t xml:space="preserve">.2 Решение проблем обеспечения населения водой в </w:t>
      </w:r>
      <w:proofErr w:type="spellStart"/>
      <w:r>
        <w:rPr>
          <w:rFonts w:asciiTheme="minorHAnsi" w:eastAsiaTheme="minorHAnsi" w:hAnsiTheme="minorHAnsi" w:cstheme="minorBidi"/>
          <w:sz w:val="28"/>
        </w:rPr>
        <w:t>вододефицитных</w:t>
      </w:r>
      <w:proofErr w:type="spellEnd"/>
      <w:r>
        <w:rPr>
          <w:rFonts w:asciiTheme="minorHAnsi" w:eastAsiaTheme="minorHAnsi" w:hAnsiTheme="minorHAnsi" w:cstheme="minorBidi"/>
          <w:sz w:val="28"/>
        </w:rPr>
        <w:t xml:space="preserve"> районах.</w:t>
      </w:r>
    </w:p>
    <w:p w:rsidR="00F03BAA" w:rsidRDefault="00F03BAA" w:rsidP="00F03BAA">
      <w:pPr>
        <w:ind w:left="884"/>
        <w:contextualSpacing/>
        <w:jc w:val="both"/>
        <w:rPr>
          <w:rFonts w:asciiTheme="minorHAnsi" w:eastAsiaTheme="minorHAnsi" w:hAnsiTheme="minorHAnsi" w:cstheme="minorBidi"/>
          <w:sz w:val="28"/>
        </w:rPr>
      </w:pPr>
    </w:p>
    <w:p w:rsidR="00F03BAA" w:rsidRPr="00F03BAA" w:rsidRDefault="00F03BAA" w:rsidP="00F03BAA">
      <w:pPr>
        <w:ind w:left="884"/>
        <w:contextualSpacing/>
        <w:jc w:val="both"/>
        <w:rPr>
          <w:rFonts w:asciiTheme="minorHAnsi" w:eastAsiaTheme="minorHAnsi" w:hAnsiTheme="minorHAnsi" w:cstheme="minorBidi"/>
          <w:sz w:val="28"/>
        </w:rPr>
      </w:pPr>
    </w:p>
    <w:p w:rsidR="00F03BAA" w:rsidRPr="00F03BAA" w:rsidRDefault="00F03BAA" w:rsidP="00F03BAA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F03BAA">
        <w:rPr>
          <w:rFonts w:asciiTheme="minorHAnsi" w:eastAsiaTheme="minorHAnsi" w:hAnsiTheme="minorHAnsi" w:cstheme="minorBidi"/>
          <w:b/>
          <w:sz w:val="28"/>
          <w:szCs w:val="28"/>
        </w:rPr>
        <w:t>К 2035 создать систему, обеспечивающую предоставление качественных услуг водоотведения (соответствие природоохранному законодательству, надежность) с использованием НДТ, учитывая реально сложившиеся экономические возможности сферы ВКХ.</w:t>
      </w:r>
    </w:p>
    <w:p w:rsidR="00F03BAA" w:rsidRPr="00F03BAA" w:rsidRDefault="00F03BAA" w:rsidP="00F03BAA">
      <w:pPr>
        <w:ind w:left="884"/>
        <w:contextualSpacing/>
        <w:jc w:val="both"/>
        <w:rPr>
          <w:rFonts w:asciiTheme="minorHAnsi" w:eastAsiaTheme="minorHAnsi" w:hAnsiTheme="minorHAnsi" w:cstheme="minorBidi"/>
          <w:sz w:val="28"/>
        </w:rPr>
      </w:pPr>
      <w:r w:rsidRPr="00F03BAA">
        <w:rPr>
          <w:rFonts w:asciiTheme="minorHAnsi" w:eastAsiaTheme="minorHAnsi" w:hAnsiTheme="minorHAnsi" w:cstheme="minorBidi"/>
          <w:sz w:val="28"/>
          <w:u w:val="single"/>
        </w:rPr>
        <w:t>Качество водоотведения</w:t>
      </w:r>
      <w:r w:rsidRPr="00F03BAA">
        <w:rPr>
          <w:rFonts w:asciiTheme="minorHAnsi" w:eastAsiaTheme="minorHAnsi" w:hAnsiTheme="minorHAnsi" w:cstheme="minorBidi"/>
          <w:sz w:val="28"/>
        </w:rPr>
        <w:t xml:space="preserve"> определяется воздействием сброса сточных вод от населения и промышленности на водные объекты, надежностью систем транспортировки и очистки сточных вод, рациональным использованием ресурсов при транспортировке и очистке сточных вод, минимизацией рисков возникновения аварий на опасных производственных объектах и иных чрезвычайных ситуаций техногенного характера.</w:t>
      </w:r>
    </w:p>
    <w:p w:rsidR="00537F86" w:rsidRPr="00537F86" w:rsidRDefault="00537F86" w:rsidP="00537F86">
      <w:pPr>
        <w:pStyle w:val="a3"/>
        <w:ind w:left="1244"/>
        <w:jc w:val="both"/>
        <w:rPr>
          <w:rFonts w:asciiTheme="minorHAnsi" w:eastAsiaTheme="minorHAnsi" w:hAnsiTheme="minorHAnsi" w:cstheme="minorBidi"/>
          <w:sz w:val="28"/>
          <w:u w:val="single"/>
        </w:rPr>
      </w:pPr>
      <w:r w:rsidRPr="00537F86">
        <w:rPr>
          <w:rFonts w:asciiTheme="minorHAnsi" w:eastAsiaTheme="minorHAnsi" w:hAnsiTheme="minorHAnsi" w:cstheme="minorBidi"/>
          <w:sz w:val="28"/>
          <w:u w:val="single"/>
        </w:rPr>
        <w:t>Детализация задачи:</w:t>
      </w:r>
    </w:p>
    <w:p w:rsidR="00537F86" w:rsidRDefault="00537F86" w:rsidP="00537F86">
      <w:pPr>
        <w:pStyle w:val="a3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>С</w:t>
      </w:r>
      <w:r w:rsidRPr="005224B1">
        <w:rPr>
          <w:rFonts w:asciiTheme="minorHAnsi" w:eastAsiaTheme="minorHAnsi" w:hAnsiTheme="minorHAnsi" w:cstheme="minorBidi"/>
          <w:sz w:val="28"/>
        </w:rPr>
        <w:t>озда</w:t>
      </w:r>
      <w:r>
        <w:rPr>
          <w:rFonts w:asciiTheme="minorHAnsi" w:eastAsiaTheme="minorHAnsi" w:hAnsiTheme="minorHAnsi" w:cstheme="minorBidi"/>
          <w:sz w:val="28"/>
        </w:rPr>
        <w:t>ние</w:t>
      </w:r>
      <w:r w:rsidRPr="005224B1">
        <w:rPr>
          <w:rFonts w:asciiTheme="minorHAnsi" w:eastAsiaTheme="minorHAnsi" w:hAnsiTheme="minorHAnsi" w:cstheme="minorBidi"/>
          <w:sz w:val="28"/>
        </w:rPr>
        <w:t xml:space="preserve"> систем</w:t>
      </w:r>
      <w:r>
        <w:rPr>
          <w:rFonts w:asciiTheme="minorHAnsi" w:eastAsiaTheme="minorHAnsi" w:hAnsiTheme="minorHAnsi" w:cstheme="minorBidi"/>
          <w:sz w:val="28"/>
        </w:rPr>
        <w:t>ы</w:t>
      </w:r>
      <w:r w:rsidRPr="005224B1">
        <w:rPr>
          <w:rFonts w:asciiTheme="minorHAnsi" w:eastAsiaTheme="minorHAnsi" w:hAnsiTheme="minorHAnsi" w:cstheme="minorBidi"/>
          <w:sz w:val="28"/>
        </w:rPr>
        <w:t>, обеспечивающ</w:t>
      </w:r>
      <w:r>
        <w:rPr>
          <w:rFonts w:asciiTheme="minorHAnsi" w:eastAsiaTheme="minorHAnsi" w:hAnsiTheme="minorHAnsi" w:cstheme="minorBidi"/>
          <w:sz w:val="28"/>
        </w:rPr>
        <w:t>ей</w:t>
      </w:r>
      <w:r w:rsidRPr="005224B1">
        <w:rPr>
          <w:rFonts w:asciiTheme="minorHAnsi" w:eastAsiaTheme="minorHAnsi" w:hAnsiTheme="minorHAnsi" w:cstheme="minorBidi"/>
          <w:sz w:val="28"/>
        </w:rPr>
        <w:t xml:space="preserve"> предоставление к</w:t>
      </w:r>
      <w:r>
        <w:rPr>
          <w:rFonts w:asciiTheme="minorHAnsi" w:eastAsiaTheme="minorHAnsi" w:hAnsiTheme="minorHAnsi" w:cstheme="minorBidi"/>
          <w:sz w:val="28"/>
        </w:rPr>
        <w:t>ачественных услуг водоотведения.</w:t>
      </w:r>
    </w:p>
    <w:p w:rsidR="00537F86" w:rsidRDefault="00537F86" w:rsidP="00F205AB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 </w:t>
      </w:r>
      <w:r w:rsidR="00F205AB" w:rsidRPr="00F205AB">
        <w:rPr>
          <w:rFonts w:asciiTheme="minorHAnsi" w:eastAsiaTheme="minorHAnsi" w:hAnsiTheme="minorHAnsi" w:cstheme="minorBidi"/>
          <w:sz w:val="28"/>
        </w:rPr>
        <w:t xml:space="preserve">Достижение </w:t>
      </w:r>
      <w:r w:rsidR="00B21E38">
        <w:rPr>
          <w:rFonts w:asciiTheme="minorHAnsi" w:eastAsiaTheme="minorHAnsi" w:hAnsiTheme="minorHAnsi" w:cstheme="minorBidi"/>
          <w:sz w:val="28"/>
        </w:rPr>
        <w:t xml:space="preserve">соответствующих показателей </w:t>
      </w:r>
      <w:r w:rsidR="00F205AB" w:rsidRPr="00F205AB">
        <w:rPr>
          <w:rFonts w:asciiTheme="minorHAnsi" w:eastAsiaTheme="minorHAnsi" w:hAnsiTheme="minorHAnsi" w:cstheme="minorBidi"/>
          <w:sz w:val="28"/>
        </w:rPr>
        <w:t>качества</w:t>
      </w:r>
      <w:r w:rsidR="00B21E38">
        <w:rPr>
          <w:rFonts w:asciiTheme="minorHAnsi" w:eastAsiaTheme="minorHAnsi" w:hAnsiTheme="minorHAnsi" w:cstheme="minorBidi"/>
          <w:sz w:val="28"/>
        </w:rPr>
        <w:t xml:space="preserve"> и</w:t>
      </w:r>
      <w:r w:rsidR="00F205AB" w:rsidRPr="00F205AB">
        <w:rPr>
          <w:rFonts w:asciiTheme="minorHAnsi" w:eastAsiaTheme="minorHAnsi" w:hAnsiTheme="minorHAnsi" w:cstheme="minorBidi"/>
          <w:sz w:val="28"/>
        </w:rPr>
        <w:t xml:space="preserve"> надежности в централизованных системах водоснабжения </w:t>
      </w:r>
      <w:proofErr w:type="gramStart"/>
      <w:r w:rsidR="00F205AB" w:rsidRPr="00F205AB">
        <w:rPr>
          <w:rFonts w:asciiTheme="minorHAnsi" w:eastAsiaTheme="minorHAnsi" w:hAnsiTheme="minorHAnsi" w:cstheme="minorBidi"/>
          <w:sz w:val="28"/>
        </w:rPr>
        <w:t>при</w:t>
      </w:r>
      <w:proofErr w:type="gramEnd"/>
      <w:r w:rsidR="00F205AB" w:rsidRPr="00F205AB">
        <w:rPr>
          <w:rFonts w:asciiTheme="minorHAnsi" w:eastAsiaTheme="minorHAnsi" w:hAnsiTheme="minorHAnsi" w:cstheme="minorBidi"/>
          <w:sz w:val="28"/>
        </w:rPr>
        <w:t>:</w:t>
      </w:r>
    </w:p>
    <w:p w:rsidR="00B21E38" w:rsidRPr="00B21E38" w:rsidRDefault="00B21E38" w:rsidP="00B21E38">
      <w:pPr>
        <w:pStyle w:val="a3"/>
        <w:numPr>
          <w:ilvl w:val="2"/>
          <w:numId w:val="2"/>
        </w:numPr>
        <w:jc w:val="both"/>
        <w:rPr>
          <w:rFonts w:asciiTheme="minorHAnsi" w:eastAsiaTheme="minorHAnsi" w:hAnsiTheme="minorHAnsi" w:cstheme="minorBidi"/>
          <w:sz w:val="28"/>
        </w:rPr>
      </w:pPr>
      <w:r w:rsidRPr="00B21E38">
        <w:rPr>
          <w:rFonts w:asciiTheme="minorHAnsi" w:eastAsiaTheme="minorHAnsi" w:hAnsiTheme="minorHAnsi" w:cstheme="minorBidi"/>
          <w:sz w:val="28"/>
        </w:rPr>
        <w:t>транспортировке (включая прием сточных вод от потребителей)</w:t>
      </w:r>
    </w:p>
    <w:p w:rsidR="00B21E38" w:rsidRDefault="00B21E38" w:rsidP="00B21E38">
      <w:pPr>
        <w:pStyle w:val="a3"/>
        <w:numPr>
          <w:ilvl w:val="2"/>
          <w:numId w:val="2"/>
        </w:numPr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>очистке и сбросе сточных вод</w:t>
      </w:r>
    </w:p>
    <w:p w:rsidR="00E4088D" w:rsidRDefault="00E4088D" w:rsidP="00B21E38">
      <w:pPr>
        <w:pStyle w:val="a3"/>
        <w:numPr>
          <w:ilvl w:val="2"/>
          <w:numId w:val="2"/>
        </w:numPr>
        <w:jc w:val="both"/>
        <w:rPr>
          <w:rFonts w:asciiTheme="minorHAnsi" w:eastAsiaTheme="minorHAnsi" w:hAnsiTheme="minorHAnsi" w:cstheme="minorBidi"/>
          <w:sz w:val="28"/>
        </w:rPr>
      </w:pPr>
      <w:proofErr w:type="gramStart"/>
      <w:r>
        <w:rPr>
          <w:rFonts w:asciiTheme="minorHAnsi" w:eastAsiaTheme="minorHAnsi" w:hAnsiTheme="minorHAnsi" w:cstheme="minorBidi"/>
          <w:sz w:val="28"/>
        </w:rPr>
        <w:t>обращении</w:t>
      </w:r>
      <w:proofErr w:type="gramEnd"/>
      <w:r>
        <w:rPr>
          <w:rFonts w:asciiTheme="minorHAnsi" w:eastAsiaTheme="minorHAnsi" w:hAnsiTheme="minorHAnsi" w:cstheme="minorBidi"/>
          <w:sz w:val="28"/>
        </w:rPr>
        <w:t xml:space="preserve"> с осадком сточных вод (включая вопросы использования осадка сточных вод)</w:t>
      </w:r>
    </w:p>
    <w:p w:rsidR="00E4088D" w:rsidRDefault="00E4088D" w:rsidP="00E4088D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t xml:space="preserve"> </w:t>
      </w:r>
      <w:r w:rsidRPr="00F205AB">
        <w:rPr>
          <w:rFonts w:asciiTheme="minorHAnsi" w:eastAsiaTheme="minorHAnsi" w:hAnsiTheme="minorHAnsi" w:cstheme="minorBidi"/>
          <w:sz w:val="28"/>
        </w:rPr>
        <w:t xml:space="preserve">Достижение </w:t>
      </w:r>
      <w:r>
        <w:rPr>
          <w:rFonts w:asciiTheme="minorHAnsi" w:eastAsiaTheme="minorHAnsi" w:hAnsiTheme="minorHAnsi" w:cstheme="minorBidi"/>
          <w:sz w:val="28"/>
        </w:rPr>
        <w:t xml:space="preserve">соответствующих показателей </w:t>
      </w:r>
      <w:r w:rsidRPr="00F205AB">
        <w:rPr>
          <w:rFonts w:asciiTheme="minorHAnsi" w:eastAsiaTheme="minorHAnsi" w:hAnsiTheme="minorHAnsi" w:cstheme="minorBidi"/>
          <w:sz w:val="28"/>
        </w:rPr>
        <w:t>качества</w:t>
      </w:r>
      <w:r>
        <w:rPr>
          <w:rFonts w:asciiTheme="minorHAnsi" w:eastAsiaTheme="minorHAnsi" w:hAnsiTheme="minorHAnsi" w:cstheme="minorBidi"/>
          <w:sz w:val="28"/>
        </w:rPr>
        <w:t xml:space="preserve"> и</w:t>
      </w:r>
      <w:r w:rsidRPr="00F205AB">
        <w:rPr>
          <w:rFonts w:asciiTheme="minorHAnsi" w:eastAsiaTheme="minorHAnsi" w:hAnsiTheme="minorHAnsi" w:cstheme="minorBidi"/>
          <w:sz w:val="28"/>
        </w:rPr>
        <w:t xml:space="preserve"> надежности </w:t>
      </w:r>
      <w:r>
        <w:rPr>
          <w:rFonts w:asciiTheme="minorHAnsi" w:eastAsiaTheme="minorHAnsi" w:hAnsiTheme="minorHAnsi" w:cstheme="minorBidi"/>
          <w:sz w:val="28"/>
        </w:rPr>
        <w:t>работы ливневой канализации</w:t>
      </w:r>
    </w:p>
    <w:p w:rsidR="00007556" w:rsidRPr="00F03BAA" w:rsidRDefault="00007556" w:rsidP="00007556">
      <w:pPr>
        <w:pStyle w:val="a3"/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 w:rsidRPr="00F03BAA">
        <w:rPr>
          <w:rFonts w:asciiTheme="minorHAnsi" w:eastAsiaTheme="minorHAnsi" w:hAnsiTheme="minorHAnsi" w:cstheme="minorBidi"/>
          <w:sz w:val="28"/>
        </w:rPr>
        <w:t>Обеспечение доступности</w:t>
      </w:r>
      <w:r>
        <w:rPr>
          <w:rFonts w:asciiTheme="minorHAnsi" w:eastAsiaTheme="minorHAnsi" w:hAnsiTheme="minorHAnsi" w:cstheme="minorBidi"/>
          <w:sz w:val="28"/>
        </w:rPr>
        <w:t xml:space="preserve"> услуг водоотведения для населения</w:t>
      </w:r>
    </w:p>
    <w:p w:rsidR="00007556" w:rsidRPr="007800E3" w:rsidRDefault="00007556" w:rsidP="007800E3">
      <w:pPr>
        <w:pStyle w:val="a3"/>
        <w:numPr>
          <w:ilvl w:val="2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 w:rsidRPr="007800E3">
        <w:rPr>
          <w:rFonts w:asciiTheme="minorHAnsi" w:eastAsiaTheme="minorHAnsi" w:hAnsiTheme="minorHAnsi" w:cstheme="minorBidi"/>
          <w:sz w:val="28"/>
        </w:rPr>
        <w:t>Расширение охвата системами централизованного водо</w:t>
      </w:r>
      <w:r w:rsidR="007800E3" w:rsidRPr="007800E3">
        <w:rPr>
          <w:rFonts w:asciiTheme="minorHAnsi" w:eastAsiaTheme="minorHAnsi" w:hAnsiTheme="minorHAnsi" w:cstheme="minorBidi"/>
          <w:sz w:val="28"/>
        </w:rPr>
        <w:t>отведения</w:t>
      </w:r>
    </w:p>
    <w:p w:rsidR="007800E3" w:rsidRPr="007800E3" w:rsidRDefault="007800E3" w:rsidP="007800E3">
      <w:pPr>
        <w:pStyle w:val="a3"/>
        <w:numPr>
          <w:ilvl w:val="2"/>
          <w:numId w:val="3"/>
        </w:numPr>
        <w:jc w:val="both"/>
        <w:rPr>
          <w:rFonts w:asciiTheme="minorHAnsi" w:eastAsiaTheme="minorHAnsi" w:hAnsiTheme="minorHAnsi" w:cstheme="minorBidi"/>
          <w:sz w:val="28"/>
        </w:rPr>
      </w:pPr>
      <w:r w:rsidRPr="007800E3">
        <w:rPr>
          <w:rFonts w:asciiTheme="minorHAnsi" w:eastAsiaTheme="minorHAnsi" w:hAnsiTheme="minorHAnsi" w:cstheme="minorBidi"/>
          <w:sz w:val="28"/>
        </w:rPr>
        <w:t>Организация нецентрализованного водоотведения, обеспечивающего нормы природоохранного и санитарного законодательства.</w:t>
      </w:r>
    </w:p>
    <w:p w:rsidR="00537F86" w:rsidRDefault="00BE4796" w:rsidP="00E566F7">
      <w:pPr>
        <w:numPr>
          <w:ilvl w:val="0"/>
          <w:numId w:val="2"/>
        </w:numPr>
        <w:contextualSpacing/>
        <w:jc w:val="both"/>
        <w:rPr>
          <w:b/>
          <w:sz w:val="28"/>
        </w:rPr>
      </w:pPr>
      <w:r w:rsidRPr="00E566F7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Вспомога</w:t>
      </w:r>
      <w:r w:rsidR="00E566F7" w:rsidRPr="00E566F7">
        <w:rPr>
          <w:rFonts w:asciiTheme="minorHAnsi" w:eastAsiaTheme="minorHAnsi" w:hAnsiTheme="minorHAnsi" w:cstheme="minorBidi"/>
          <w:b/>
          <w:sz w:val="28"/>
          <w:szCs w:val="28"/>
        </w:rPr>
        <w:t>тельные</w:t>
      </w:r>
      <w:r w:rsidR="00E566F7" w:rsidRPr="00E566F7">
        <w:rPr>
          <w:b/>
          <w:sz w:val="28"/>
        </w:rPr>
        <w:t xml:space="preserve"> задачи, направленные на </w:t>
      </w:r>
      <w:r w:rsidRPr="00E566F7">
        <w:rPr>
          <w:b/>
          <w:sz w:val="28"/>
        </w:rPr>
        <w:t>обеспеч</w:t>
      </w:r>
      <w:r w:rsidR="00E566F7" w:rsidRPr="00E566F7">
        <w:rPr>
          <w:b/>
          <w:sz w:val="28"/>
        </w:rPr>
        <w:t xml:space="preserve">ение </w:t>
      </w:r>
      <w:r w:rsidRPr="00E566F7">
        <w:rPr>
          <w:b/>
          <w:sz w:val="28"/>
        </w:rPr>
        <w:t>предоставлени</w:t>
      </w:r>
      <w:r w:rsidR="00E566F7" w:rsidRPr="00E566F7">
        <w:rPr>
          <w:b/>
          <w:sz w:val="28"/>
        </w:rPr>
        <w:t>я</w:t>
      </w:r>
      <w:r w:rsidRPr="00E566F7">
        <w:rPr>
          <w:b/>
          <w:sz w:val="28"/>
        </w:rPr>
        <w:t xml:space="preserve"> качественных услуг</w:t>
      </w:r>
      <w:r w:rsidR="00E566F7" w:rsidRPr="00E566F7">
        <w:rPr>
          <w:b/>
          <w:sz w:val="28"/>
        </w:rPr>
        <w:t xml:space="preserve"> водоснабжения и</w:t>
      </w:r>
      <w:r w:rsidRPr="00E566F7">
        <w:rPr>
          <w:b/>
          <w:sz w:val="28"/>
        </w:rPr>
        <w:t xml:space="preserve"> водоотведения</w:t>
      </w:r>
      <w:r w:rsidR="00E566F7">
        <w:rPr>
          <w:b/>
          <w:sz w:val="28"/>
        </w:rPr>
        <w:t>.</w:t>
      </w:r>
    </w:p>
    <w:p w:rsidR="00E566F7" w:rsidRPr="00E566F7" w:rsidRDefault="00E566F7" w:rsidP="00537F86">
      <w:pPr>
        <w:rPr>
          <w:b/>
          <w:sz w:val="28"/>
        </w:rPr>
      </w:pPr>
    </w:p>
    <w:p w:rsidR="00097EFB" w:rsidRDefault="00BE4796" w:rsidP="00E566F7">
      <w:pPr>
        <w:pStyle w:val="a3"/>
        <w:numPr>
          <w:ilvl w:val="1"/>
          <w:numId w:val="4"/>
        </w:numPr>
        <w:jc w:val="both"/>
        <w:rPr>
          <w:rFonts w:asciiTheme="minorHAnsi" w:eastAsiaTheme="minorHAnsi" w:hAnsiTheme="minorHAnsi" w:cstheme="minorBidi"/>
          <w:sz w:val="28"/>
        </w:rPr>
      </w:pPr>
      <w:r w:rsidRPr="00E566F7">
        <w:rPr>
          <w:rFonts w:asciiTheme="minorHAnsi" w:eastAsiaTheme="minorHAnsi" w:hAnsiTheme="minorHAnsi" w:cstheme="minorBidi"/>
          <w:sz w:val="28"/>
        </w:rPr>
        <w:t xml:space="preserve">Совершенствование системы взаимоотношений между </w:t>
      </w:r>
      <w:proofErr w:type="spellStart"/>
      <w:r w:rsidRPr="00E566F7">
        <w:rPr>
          <w:rFonts w:asciiTheme="minorHAnsi" w:eastAsiaTheme="minorHAnsi" w:hAnsiTheme="minorHAnsi" w:cstheme="minorBidi"/>
          <w:sz w:val="28"/>
        </w:rPr>
        <w:t>ресурсоснабжающими</w:t>
      </w:r>
      <w:proofErr w:type="spellEnd"/>
      <w:r w:rsidRPr="00E566F7">
        <w:rPr>
          <w:rFonts w:asciiTheme="minorHAnsi" w:eastAsiaTheme="minorHAnsi" w:hAnsiTheme="minorHAnsi" w:cstheme="minorBidi"/>
          <w:sz w:val="28"/>
        </w:rPr>
        <w:t xml:space="preserve"> компаниями и потребителями (подключения к инфраструктуре, учет потребления воды, организация расчетов за оказываемую услугу водоснабжения)</w:t>
      </w:r>
    </w:p>
    <w:p w:rsidR="00097EFB" w:rsidRDefault="00097EFB">
      <w:pPr>
        <w:rPr>
          <w:rFonts w:asciiTheme="minorHAnsi" w:eastAsiaTheme="minorHAnsi" w:hAnsiTheme="minorHAnsi" w:cstheme="minorBidi"/>
          <w:sz w:val="28"/>
        </w:rPr>
      </w:pPr>
      <w:r>
        <w:rPr>
          <w:rFonts w:asciiTheme="minorHAnsi" w:eastAsiaTheme="minorHAnsi" w:hAnsiTheme="minorHAnsi" w:cstheme="minorBidi"/>
          <w:sz w:val="28"/>
        </w:rPr>
        <w:br w:type="page"/>
      </w:r>
    </w:p>
    <w:p w:rsidR="00BE4796" w:rsidRPr="00707C20" w:rsidRDefault="00497CA2" w:rsidP="008B48C1">
      <w:pPr>
        <w:pStyle w:val="1"/>
        <w:jc w:val="center"/>
      </w:pPr>
      <w:bookmarkStart w:id="3" w:name="_Toc17380256"/>
      <w:r>
        <w:rPr>
          <w:lang w:val="en-US"/>
        </w:rPr>
        <w:lastRenderedPageBreak/>
        <w:t>III</w:t>
      </w:r>
      <w:r w:rsidR="00C93DD0">
        <w:t xml:space="preserve">. </w:t>
      </w:r>
      <w:r w:rsidR="00707C20" w:rsidRPr="00707C20">
        <w:t>Основные направления развития ВКХ, направленные на реализацию поставленных задач.</w:t>
      </w:r>
      <w:bookmarkEnd w:id="3"/>
    </w:p>
    <w:p w:rsidR="00805246" w:rsidRDefault="00805246" w:rsidP="00707C20">
      <w:pPr>
        <w:jc w:val="both"/>
        <w:rPr>
          <w:b/>
          <w:sz w:val="28"/>
        </w:rPr>
      </w:pPr>
    </w:p>
    <w:p w:rsidR="00707C20" w:rsidRPr="001338D0" w:rsidRDefault="00707C20" w:rsidP="001338D0">
      <w:pPr>
        <w:pStyle w:val="2"/>
        <w:jc w:val="center"/>
        <w:rPr>
          <w:sz w:val="28"/>
        </w:rPr>
      </w:pPr>
      <w:bookmarkStart w:id="4" w:name="_Toc17380257"/>
      <w:r w:rsidRPr="001338D0">
        <w:rPr>
          <w:sz w:val="28"/>
        </w:rPr>
        <w:t>1.Нормативное регулирование</w:t>
      </w:r>
      <w:bookmarkEnd w:id="4"/>
    </w:p>
    <w:p w:rsidR="00707C20" w:rsidRPr="00497CA2" w:rsidRDefault="00805246" w:rsidP="00497CA2">
      <w:pPr>
        <w:pStyle w:val="af1"/>
        <w:rPr>
          <w:sz w:val="28"/>
        </w:rPr>
      </w:pPr>
      <w:proofErr w:type="gramStart"/>
      <w:r w:rsidRPr="00497CA2">
        <w:rPr>
          <w:sz w:val="28"/>
        </w:rPr>
        <w:t xml:space="preserve">1.1 </w:t>
      </w:r>
      <w:r w:rsidR="00771394" w:rsidRPr="00497CA2">
        <w:rPr>
          <w:sz w:val="28"/>
        </w:rPr>
        <w:t>Отраслевое</w:t>
      </w:r>
      <w:r w:rsidRPr="00497CA2">
        <w:rPr>
          <w:sz w:val="28"/>
        </w:rPr>
        <w:t xml:space="preserve"> и антимонопольное регулирование</w:t>
      </w:r>
      <w:r w:rsidR="00771394" w:rsidRPr="00497CA2">
        <w:rPr>
          <w:sz w:val="28"/>
        </w:rPr>
        <w:t xml:space="preserve"> (включая задачи по сбору, учету и обработке технических и экономических данных, задачи планирования: схемы </w:t>
      </w:r>
      <w:proofErr w:type="gramEnd"/>
    </w:p>
    <w:p w:rsidR="002F61ED" w:rsidRDefault="001D7CB7" w:rsidP="00497CA2">
      <w:pPr>
        <w:ind w:firstLine="567"/>
        <w:jc w:val="both"/>
        <w:rPr>
          <w:sz w:val="28"/>
        </w:rPr>
      </w:pPr>
      <w:r>
        <w:rPr>
          <w:sz w:val="28"/>
        </w:rPr>
        <w:t>Совершенствование отраслевого</w:t>
      </w:r>
      <w:r w:rsidR="00F2631F">
        <w:rPr>
          <w:sz w:val="28"/>
        </w:rPr>
        <w:t xml:space="preserve"> регулировани</w:t>
      </w:r>
      <w:r>
        <w:rPr>
          <w:sz w:val="28"/>
        </w:rPr>
        <w:t>я</w:t>
      </w:r>
      <w:r w:rsidR="00F2631F">
        <w:rPr>
          <w:sz w:val="28"/>
        </w:rPr>
        <w:t xml:space="preserve"> </w:t>
      </w:r>
      <w:r>
        <w:rPr>
          <w:sz w:val="28"/>
        </w:rPr>
        <w:t xml:space="preserve">должно </w:t>
      </w:r>
      <w:r w:rsidR="00C016F8">
        <w:rPr>
          <w:sz w:val="28"/>
        </w:rPr>
        <w:t xml:space="preserve">обеспечить возможность структурных </w:t>
      </w:r>
      <w:r w:rsidR="00C016F8" w:rsidRPr="00497CA2">
        <w:rPr>
          <w:rFonts w:eastAsia="Times New Roman"/>
          <w:sz w:val="28"/>
          <w:szCs w:val="28"/>
          <w:lang w:eastAsia="ru-RU"/>
        </w:rPr>
        <w:t>изменений</w:t>
      </w:r>
      <w:r>
        <w:rPr>
          <w:sz w:val="28"/>
        </w:rPr>
        <w:t xml:space="preserve"> технического и организационного оснащения отрасли</w:t>
      </w:r>
      <w:r w:rsidR="00C016F8">
        <w:rPr>
          <w:sz w:val="28"/>
        </w:rPr>
        <w:t xml:space="preserve">. </w:t>
      </w:r>
      <w:r>
        <w:rPr>
          <w:sz w:val="28"/>
        </w:rPr>
        <w:t>Данные изменения касаются системы сбора и управления данными о деятельности систем ВКХ, планирования их развития, нормативного регулирования отдельных компонентов технологических циклов систем ВКХ.</w:t>
      </w:r>
    </w:p>
    <w:p w:rsidR="001D7CB7" w:rsidRPr="001D7CB7" w:rsidRDefault="001D7CB7" w:rsidP="00D95032">
      <w:pPr>
        <w:jc w:val="both"/>
        <w:rPr>
          <w:b/>
          <w:sz w:val="28"/>
        </w:rPr>
      </w:pPr>
      <w:r w:rsidRPr="001D7CB7">
        <w:rPr>
          <w:b/>
          <w:sz w:val="28"/>
        </w:rPr>
        <w:t>Учет и управление данными о деятельности систем ВКХ.</w:t>
      </w:r>
    </w:p>
    <w:p w:rsidR="00A45C3C" w:rsidRDefault="00A45C3C" w:rsidP="00497CA2">
      <w:pPr>
        <w:ind w:firstLine="567"/>
        <w:jc w:val="both"/>
        <w:rPr>
          <w:sz w:val="28"/>
        </w:rPr>
      </w:pPr>
      <w:r w:rsidRPr="00A45C3C">
        <w:rPr>
          <w:sz w:val="28"/>
        </w:rPr>
        <w:t xml:space="preserve">Положение отрасли ВКХ в </w:t>
      </w:r>
      <w:r>
        <w:rPr>
          <w:sz w:val="28"/>
        </w:rPr>
        <w:t>настоящее время характеризуетс</w:t>
      </w:r>
      <w:proofErr w:type="gramStart"/>
      <w:r>
        <w:rPr>
          <w:sz w:val="28"/>
        </w:rPr>
        <w:t>я</w:t>
      </w:r>
      <w:r w:rsidRPr="00A45C3C">
        <w:rPr>
          <w:sz w:val="28"/>
        </w:rPr>
        <w:t>-</w:t>
      </w:r>
      <w:proofErr w:type="gramEnd"/>
      <w:r w:rsidRPr="00A45C3C">
        <w:rPr>
          <w:sz w:val="28"/>
        </w:rPr>
        <w:t xml:space="preserve"> неравномерным техническим развитием и экономическим положением водоканалов; отсутствием </w:t>
      </w:r>
      <w:r>
        <w:rPr>
          <w:sz w:val="28"/>
        </w:rPr>
        <w:t xml:space="preserve">релевантной </w:t>
      </w:r>
      <w:r w:rsidRPr="00A45C3C">
        <w:rPr>
          <w:sz w:val="28"/>
        </w:rPr>
        <w:t xml:space="preserve">системы сбора и анализа данных о технических и экономических показателях работы организаций, в том числе в связи отсутствием единых </w:t>
      </w:r>
      <w:r>
        <w:rPr>
          <w:sz w:val="28"/>
        </w:rPr>
        <w:t xml:space="preserve">требований к ведению отчетности. Вместе с тем сбор информации производится различными органами власти </w:t>
      </w:r>
      <w:proofErr w:type="spellStart"/>
      <w:r>
        <w:rPr>
          <w:sz w:val="28"/>
        </w:rPr>
        <w:t>несистемно</w:t>
      </w:r>
      <w:proofErr w:type="spellEnd"/>
      <w:r>
        <w:rPr>
          <w:sz w:val="28"/>
        </w:rPr>
        <w:t>: органы власти не имеют общей информационной системы и вынуждены запрашивать информацию «под задачу», что приводит к дополнительным нагрузкам на соответствующие подразделения организаций, дублированию отчетности и низкому качеству получаемой информации.</w:t>
      </w:r>
    </w:p>
    <w:p w:rsidR="00AB2670" w:rsidRDefault="00736A2D" w:rsidP="00497CA2">
      <w:pPr>
        <w:ind w:firstLine="567"/>
        <w:jc w:val="both"/>
        <w:rPr>
          <w:sz w:val="28"/>
        </w:rPr>
      </w:pPr>
      <w:r>
        <w:rPr>
          <w:sz w:val="28"/>
        </w:rPr>
        <w:t xml:space="preserve">На подготовительном этапе необходимо провести </w:t>
      </w:r>
      <w:r w:rsidR="00A45C3C">
        <w:rPr>
          <w:sz w:val="28"/>
        </w:rPr>
        <w:t>р</w:t>
      </w:r>
      <w:r>
        <w:rPr>
          <w:sz w:val="28"/>
        </w:rPr>
        <w:t>евизию</w:t>
      </w:r>
      <w:r w:rsidR="00A45C3C">
        <w:rPr>
          <w:sz w:val="28"/>
        </w:rPr>
        <w:t xml:space="preserve"> собираемой </w:t>
      </w:r>
      <w:r w:rsidR="00AB2670">
        <w:rPr>
          <w:sz w:val="28"/>
        </w:rPr>
        <w:t xml:space="preserve">органами власти разных уровней информации. Необходимо создать архитектуру общей информационной базы с различными уровнями допуска для органов власти, ОМСУ, РСО и иных заинтересованных лиц. Такая система должна обеспечивать возможность информационного обеспечения принятия нормативных и организационных решений, в </w:t>
      </w:r>
      <w:proofErr w:type="spellStart"/>
      <w:r w:rsidR="00AB2670">
        <w:rPr>
          <w:sz w:val="28"/>
        </w:rPr>
        <w:t>т.ч</w:t>
      </w:r>
      <w:proofErr w:type="spellEnd"/>
      <w:r w:rsidR="00AB2670">
        <w:rPr>
          <w:sz w:val="28"/>
        </w:rPr>
        <w:t>. тарифного регулирования.</w:t>
      </w:r>
      <w:r w:rsidR="00993FAF" w:rsidRPr="00993FAF">
        <w:rPr>
          <w:sz w:val="28"/>
        </w:rPr>
        <w:t xml:space="preserve"> Далее </w:t>
      </w:r>
      <w:r w:rsidR="00993FAF">
        <w:rPr>
          <w:sz w:val="28"/>
        </w:rPr>
        <w:t>следует разработать порядок вн</w:t>
      </w:r>
      <w:r w:rsidR="00993FAF" w:rsidRPr="00993FAF">
        <w:rPr>
          <w:sz w:val="28"/>
        </w:rPr>
        <w:t>едрени</w:t>
      </w:r>
      <w:r w:rsidR="00993FAF">
        <w:rPr>
          <w:sz w:val="28"/>
        </w:rPr>
        <w:t>я</w:t>
      </w:r>
      <w:r w:rsidR="00993FAF" w:rsidRPr="00993FAF">
        <w:rPr>
          <w:sz w:val="28"/>
        </w:rPr>
        <w:t xml:space="preserve"> системы мониторинга, сбор</w:t>
      </w:r>
      <w:r w:rsidR="00993FAF">
        <w:rPr>
          <w:sz w:val="28"/>
        </w:rPr>
        <w:t>а</w:t>
      </w:r>
      <w:r w:rsidR="00993FAF" w:rsidRPr="00993FAF">
        <w:rPr>
          <w:sz w:val="28"/>
        </w:rPr>
        <w:t xml:space="preserve"> и накоплени</w:t>
      </w:r>
      <w:r w:rsidR="00993FAF">
        <w:rPr>
          <w:sz w:val="28"/>
        </w:rPr>
        <w:t>я</w:t>
      </w:r>
      <w:r w:rsidR="00993FAF" w:rsidRPr="00993FAF">
        <w:rPr>
          <w:sz w:val="28"/>
        </w:rPr>
        <w:t xml:space="preserve"> данных</w:t>
      </w:r>
      <w:r w:rsidR="00993FAF">
        <w:rPr>
          <w:sz w:val="28"/>
        </w:rPr>
        <w:t>.</w:t>
      </w:r>
    </w:p>
    <w:p w:rsidR="00993FAF" w:rsidRDefault="00AB2670" w:rsidP="00497CA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Требования, предъявляемые к собираемой информации, предполагают ее </w:t>
      </w:r>
      <w:r w:rsidR="00A45C3C">
        <w:rPr>
          <w:sz w:val="28"/>
        </w:rPr>
        <w:t>унификаци</w:t>
      </w:r>
      <w:r>
        <w:rPr>
          <w:sz w:val="28"/>
        </w:rPr>
        <w:t>ю.</w:t>
      </w:r>
      <w:r w:rsidR="00A45C3C">
        <w:rPr>
          <w:sz w:val="28"/>
        </w:rPr>
        <w:t xml:space="preserve"> </w:t>
      </w:r>
      <w:r w:rsidR="00993FAF">
        <w:rPr>
          <w:sz w:val="28"/>
        </w:rPr>
        <w:t xml:space="preserve">Для этого необходимо создать </w:t>
      </w:r>
      <w:r w:rsidR="00A45C3C" w:rsidRPr="00A45C3C">
        <w:rPr>
          <w:sz w:val="28"/>
        </w:rPr>
        <w:t>едины</w:t>
      </w:r>
      <w:r w:rsidR="00993FAF">
        <w:rPr>
          <w:sz w:val="28"/>
        </w:rPr>
        <w:t>е</w:t>
      </w:r>
      <w:r w:rsidR="00A45C3C" w:rsidRPr="00A45C3C">
        <w:rPr>
          <w:sz w:val="28"/>
        </w:rPr>
        <w:t xml:space="preserve"> требований к ведению, сбору и анализу отчетности организаций ВКХ. </w:t>
      </w:r>
    </w:p>
    <w:p w:rsidR="00A45C3C" w:rsidRPr="00A45C3C" w:rsidRDefault="00A45C3C" w:rsidP="00497CA2">
      <w:pPr>
        <w:ind w:firstLine="567"/>
        <w:jc w:val="both"/>
        <w:rPr>
          <w:sz w:val="28"/>
        </w:rPr>
      </w:pPr>
      <w:r w:rsidRPr="00A45C3C">
        <w:rPr>
          <w:sz w:val="28"/>
        </w:rPr>
        <w:t>Следует отметить, что в настоящее время отсутствуют нормативные требования к ведению раздельного учета в разрезе не только технологических процессов, но и технологических переделов. Работа по внедрению единой методологии сбора и обработки технических данных о ра</w:t>
      </w:r>
      <w:r w:rsidR="00993FAF">
        <w:rPr>
          <w:sz w:val="28"/>
        </w:rPr>
        <w:t xml:space="preserve">боте водоканалов не проводилась, </w:t>
      </w:r>
      <w:r w:rsidRPr="00A45C3C">
        <w:rPr>
          <w:sz w:val="28"/>
        </w:rPr>
        <w:t>отсутств</w:t>
      </w:r>
      <w:r w:rsidR="00993FAF">
        <w:rPr>
          <w:sz w:val="28"/>
        </w:rPr>
        <w:t>уют</w:t>
      </w:r>
      <w:r w:rsidRPr="00A45C3C">
        <w:rPr>
          <w:sz w:val="28"/>
        </w:rPr>
        <w:t xml:space="preserve"> необходимы</w:t>
      </w:r>
      <w:r w:rsidR="00993FAF">
        <w:rPr>
          <w:sz w:val="28"/>
        </w:rPr>
        <w:t>е</w:t>
      </w:r>
      <w:r w:rsidRPr="00A45C3C">
        <w:rPr>
          <w:sz w:val="28"/>
        </w:rPr>
        <w:t xml:space="preserve"> требований к раздельному учету, единой методологии сбора данных.</w:t>
      </w:r>
    </w:p>
    <w:p w:rsidR="00A45C3C" w:rsidRPr="00A45C3C" w:rsidRDefault="00DC5C00" w:rsidP="00497CA2">
      <w:pPr>
        <w:ind w:firstLine="567"/>
        <w:jc w:val="both"/>
        <w:rPr>
          <w:sz w:val="28"/>
        </w:rPr>
      </w:pPr>
      <w:r>
        <w:rPr>
          <w:sz w:val="28"/>
        </w:rPr>
        <w:t>Таким образом, в</w:t>
      </w:r>
      <w:r w:rsidR="00A45C3C" w:rsidRPr="00A45C3C">
        <w:rPr>
          <w:sz w:val="28"/>
        </w:rPr>
        <w:t xml:space="preserve"> целях создания единой системы отчетности и мониторинга состояния ВКХ необходимо:</w:t>
      </w:r>
    </w:p>
    <w:p w:rsidR="00A45C3C" w:rsidRPr="00A45C3C" w:rsidRDefault="00A45C3C" w:rsidP="00497CA2">
      <w:pPr>
        <w:ind w:firstLine="567"/>
        <w:jc w:val="both"/>
        <w:rPr>
          <w:sz w:val="28"/>
        </w:rPr>
      </w:pPr>
      <w:r w:rsidRPr="00A45C3C">
        <w:rPr>
          <w:sz w:val="28"/>
        </w:rPr>
        <w:t>1) систематизировать и доработать содержание и требования к заполнению форм государственного статистического наблюдения в сфере ЖКХ.</w:t>
      </w:r>
    </w:p>
    <w:p w:rsidR="00A45C3C" w:rsidRPr="00A45C3C" w:rsidRDefault="00A45C3C" w:rsidP="00497CA2">
      <w:pPr>
        <w:ind w:firstLine="567"/>
        <w:jc w:val="both"/>
        <w:rPr>
          <w:sz w:val="28"/>
        </w:rPr>
      </w:pPr>
      <w:r w:rsidRPr="00A45C3C">
        <w:rPr>
          <w:sz w:val="28"/>
        </w:rPr>
        <w:t>2) разработать и утвердить требования к порядку ведения раздельного учета доходов и расходов в сфере водоснабжения и водоотведения, в том числе порядок отнесения расходов к видам деятельности и технологическим переделам.</w:t>
      </w:r>
    </w:p>
    <w:p w:rsidR="002F61ED" w:rsidRDefault="00A45C3C" w:rsidP="00497CA2">
      <w:pPr>
        <w:ind w:firstLine="567"/>
        <w:jc w:val="both"/>
        <w:rPr>
          <w:sz w:val="28"/>
        </w:rPr>
      </w:pPr>
      <w:r w:rsidRPr="00A45C3C">
        <w:rPr>
          <w:sz w:val="28"/>
        </w:rPr>
        <w:t xml:space="preserve">3)  разработать и утвердить перечень, методологию расчета и сбора данных о технических показателях деятельности организаций в сфере ЖКХ. </w:t>
      </w:r>
    </w:p>
    <w:p w:rsidR="00993FAF" w:rsidRPr="00497CA2" w:rsidRDefault="00497CA2" w:rsidP="00497CA2">
      <w:pPr>
        <w:pStyle w:val="af1"/>
        <w:rPr>
          <w:sz w:val="28"/>
        </w:rPr>
      </w:pPr>
      <w:r>
        <w:rPr>
          <w:sz w:val="28"/>
        </w:rPr>
        <w:t xml:space="preserve">1.2 </w:t>
      </w:r>
      <w:r w:rsidR="00736A2D" w:rsidRPr="00497CA2">
        <w:rPr>
          <w:sz w:val="28"/>
        </w:rPr>
        <w:t xml:space="preserve">Планирование развития </w:t>
      </w:r>
      <w:r w:rsidR="004D4029" w:rsidRPr="00497CA2">
        <w:rPr>
          <w:sz w:val="28"/>
        </w:rPr>
        <w:t xml:space="preserve">централизованных </w:t>
      </w:r>
      <w:r w:rsidR="00736A2D" w:rsidRPr="00497CA2">
        <w:rPr>
          <w:sz w:val="28"/>
        </w:rPr>
        <w:t>систем водоснабжения и водоотведения</w:t>
      </w:r>
    </w:p>
    <w:p w:rsidR="002505B1" w:rsidRDefault="004D4029" w:rsidP="00497CA2">
      <w:pPr>
        <w:ind w:firstLine="567"/>
        <w:jc w:val="both"/>
        <w:rPr>
          <w:sz w:val="28"/>
        </w:rPr>
      </w:pPr>
      <w:r>
        <w:rPr>
          <w:sz w:val="28"/>
        </w:rPr>
        <w:t xml:space="preserve">Системы водоснабжения и водоотведения являются частью коммунальной инфраструктуры населенных пунктов. </w:t>
      </w:r>
      <w:r w:rsidRPr="004D4029">
        <w:rPr>
          <w:sz w:val="28"/>
        </w:rPr>
        <w:t xml:space="preserve">Развитие централизованных систем </w:t>
      </w:r>
      <w:r>
        <w:rPr>
          <w:sz w:val="28"/>
        </w:rPr>
        <w:t>ВКХ</w:t>
      </w:r>
      <w:r w:rsidRPr="004D4029">
        <w:rPr>
          <w:sz w:val="28"/>
        </w:rPr>
        <w:t xml:space="preserve"> осуществляется в соответствии со </w:t>
      </w:r>
      <w:hyperlink r:id="rId14" w:history="1">
        <w:r w:rsidRPr="004D4029">
          <w:rPr>
            <w:sz w:val="28"/>
          </w:rPr>
          <w:t>схемами</w:t>
        </w:r>
      </w:hyperlink>
      <w:r w:rsidRPr="004D4029">
        <w:rPr>
          <w:sz w:val="28"/>
        </w:rPr>
        <w:t xml:space="preserve"> водоснабжения и водоотведения</w:t>
      </w:r>
      <w:r>
        <w:rPr>
          <w:sz w:val="28"/>
        </w:rPr>
        <w:t xml:space="preserve">. Ряд нормативных </w:t>
      </w:r>
      <w:r w:rsidR="005A19FE">
        <w:rPr>
          <w:sz w:val="28"/>
        </w:rPr>
        <w:t>требований, в первую очередь обязательное наличие схемы ВКХ для у</w:t>
      </w:r>
      <w:r w:rsidRPr="004D4029">
        <w:rPr>
          <w:sz w:val="28"/>
        </w:rPr>
        <w:t>тверждени</w:t>
      </w:r>
      <w:r w:rsidR="005A19FE">
        <w:rPr>
          <w:sz w:val="28"/>
        </w:rPr>
        <w:t xml:space="preserve">я инвестиционной программы, в значительной мере способствовало разработке схем ВКХ администрациями МСУ. Вместе с тем в нынешнем виде данный документ не может являться </w:t>
      </w:r>
      <w:r w:rsidR="004D62AE">
        <w:rPr>
          <w:sz w:val="28"/>
        </w:rPr>
        <w:t xml:space="preserve">основой для системного развития отрасли. </w:t>
      </w:r>
    </w:p>
    <w:p w:rsidR="004D4029" w:rsidRDefault="004D62AE" w:rsidP="00497CA2">
      <w:pPr>
        <w:ind w:firstLine="567"/>
        <w:jc w:val="both"/>
        <w:rPr>
          <w:sz w:val="28"/>
        </w:rPr>
      </w:pPr>
      <w:proofErr w:type="gramStart"/>
      <w:r w:rsidRPr="004D62AE">
        <w:rPr>
          <w:sz w:val="28"/>
        </w:rPr>
        <w:t xml:space="preserve">Законодательно утвержденный алгоритм планирования развития ВКХ через вертикально структурированную иерархию плановых документов: {градостроительные документы – программа комплексного развития </w:t>
      </w:r>
      <w:r w:rsidRPr="004D62AE">
        <w:rPr>
          <w:sz w:val="28"/>
        </w:rPr>
        <w:lastRenderedPageBreak/>
        <w:t xml:space="preserve">коммунальной инфраструктуры – схема водоснабжения/водоотведения – (концессионное соглашение) – инвестиционные программы </w:t>
      </w:r>
      <w:r>
        <w:rPr>
          <w:sz w:val="28"/>
        </w:rPr>
        <w:t>организаций ВКХ</w:t>
      </w:r>
      <w:r w:rsidRPr="004D62AE">
        <w:rPr>
          <w:sz w:val="28"/>
        </w:rPr>
        <w:t>, контроль и формальное определение целей развития в которых должны отслеживаться через систему целевых показателей – показателей качества, надежности и эффективности деятельности водоканалов} в реальности не работает</w:t>
      </w:r>
      <w:r>
        <w:rPr>
          <w:sz w:val="28"/>
        </w:rPr>
        <w:t xml:space="preserve">. </w:t>
      </w:r>
      <w:proofErr w:type="gramEnd"/>
    </w:p>
    <w:p w:rsidR="004D62AE" w:rsidRDefault="004D62AE" w:rsidP="00497CA2">
      <w:pPr>
        <w:ind w:firstLine="567"/>
        <w:jc w:val="both"/>
        <w:rPr>
          <w:sz w:val="28"/>
        </w:rPr>
      </w:pPr>
      <w:r>
        <w:rPr>
          <w:sz w:val="28"/>
        </w:rPr>
        <w:t>Важным этапом планирование должно стать восс</w:t>
      </w:r>
      <w:r w:rsidR="002505B1">
        <w:rPr>
          <w:sz w:val="28"/>
        </w:rPr>
        <w:t xml:space="preserve">оздание на новом уровне программ комплексного развития коммунального комплекса населенного пункта. Этот документ должен быть определяющим при прогнозировании уровня роста тарифов за регулируемые коммунальные услуги. С помощью ПКР орган местного самоуправления должен иметь возможность определять вектор развития </w:t>
      </w:r>
      <w:r w:rsidRPr="004D62AE">
        <w:rPr>
          <w:sz w:val="28"/>
        </w:rPr>
        <w:t>синхрониз</w:t>
      </w:r>
      <w:r w:rsidR="002505B1">
        <w:rPr>
          <w:sz w:val="28"/>
        </w:rPr>
        <w:t>ировать</w:t>
      </w:r>
      <w:r w:rsidRPr="004D62AE">
        <w:rPr>
          <w:sz w:val="28"/>
        </w:rPr>
        <w:t xml:space="preserve"> </w:t>
      </w:r>
      <w:r w:rsidR="002505B1" w:rsidRPr="004D62AE">
        <w:rPr>
          <w:sz w:val="28"/>
        </w:rPr>
        <w:t>необходимы</w:t>
      </w:r>
      <w:r w:rsidR="002505B1">
        <w:rPr>
          <w:sz w:val="28"/>
        </w:rPr>
        <w:t>е</w:t>
      </w:r>
      <w:r w:rsidRPr="004D62AE">
        <w:rPr>
          <w:sz w:val="28"/>
        </w:rPr>
        <w:t xml:space="preserve"> мероприятия и срок</w:t>
      </w:r>
      <w:r w:rsidR="002505B1">
        <w:rPr>
          <w:sz w:val="28"/>
        </w:rPr>
        <w:t>и</w:t>
      </w:r>
      <w:r w:rsidRPr="004D62AE">
        <w:rPr>
          <w:sz w:val="28"/>
        </w:rPr>
        <w:t xml:space="preserve"> </w:t>
      </w:r>
      <w:r w:rsidR="002505B1">
        <w:rPr>
          <w:sz w:val="28"/>
        </w:rPr>
        <w:t xml:space="preserve">их </w:t>
      </w:r>
      <w:r w:rsidRPr="004D62AE">
        <w:rPr>
          <w:sz w:val="28"/>
        </w:rPr>
        <w:t>реализации</w:t>
      </w:r>
      <w:r w:rsidR="002505B1">
        <w:rPr>
          <w:sz w:val="28"/>
        </w:rPr>
        <w:t xml:space="preserve"> между отраслевыми схемами, генеральным планом и иными документами территориального планирования. </w:t>
      </w:r>
    </w:p>
    <w:p w:rsidR="00710CFC" w:rsidRDefault="002505B1" w:rsidP="00497CA2">
      <w:pPr>
        <w:ind w:firstLine="567"/>
        <w:jc w:val="both"/>
        <w:rPr>
          <w:sz w:val="28"/>
        </w:rPr>
      </w:pPr>
      <w:r>
        <w:rPr>
          <w:sz w:val="28"/>
        </w:rPr>
        <w:t xml:space="preserve">Повышение статуса ПКР и схем ВКХ позволит повысить эффективность капитальных вложений, учитывать необходимость увеличения охвата ЦСВСВО, учитывать решение проблем обеспечения водой в </w:t>
      </w:r>
      <w:proofErr w:type="spellStart"/>
      <w:r>
        <w:rPr>
          <w:sz w:val="28"/>
        </w:rPr>
        <w:t>вододефецитных</w:t>
      </w:r>
      <w:proofErr w:type="spellEnd"/>
      <w:r>
        <w:rPr>
          <w:sz w:val="28"/>
        </w:rPr>
        <w:t xml:space="preserve"> районах. </w:t>
      </w:r>
    </w:p>
    <w:p w:rsidR="00710CFC" w:rsidRPr="00D95032" w:rsidRDefault="00710CFC" w:rsidP="00497CA2">
      <w:pPr>
        <w:ind w:firstLine="567"/>
        <w:jc w:val="both"/>
        <w:rPr>
          <w:sz w:val="28"/>
        </w:rPr>
      </w:pPr>
      <w:r>
        <w:rPr>
          <w:sz w:val="28"/>
        </w:rPr>
        <w:t>На региональном уровне нужна р</w:t>
      </w:r>
      <w:r w:rsidRPr="00D95032">
        <w:rPr>
          <w:sz w:val="28"/>
        </w:rPr>
        <w:t>азработка регионами сценариев регулирования сферы ВКХ исходя из тарифных и бюджетных ограничений, достижения целевых показателей по надежности и качеству услуг</w:t>
      </w:r>
      <w:r>
        <w:rPr>
          <w:sz w:val="28"/>
        </w:rPr>
        <w:t>, заложенных в схемах ВКХ</w:t>
      </w:r>
      <w:r w:rsidRPr="00D95032">
        <w:rPr>
          <w:sz w:val="28"/>
        </w:rPr>
        <w:t xml:space="preserve">. Согласование выбранного сценария и этапов его реализации с федеральными органами исполнительной власти, уполномоченными в сфере тарифного и отраслевого регулирования </w:t>
      </w:r>
    </w:p>
    <w:p w:rsidR="00DC5C00" w:rsidRDefault="00DC5C00" w:rsidP="00497CA2">
      <w:pPr>
        <w:ind w:firstLine="567"/>
        <w:jc w:val="both"/>
        <w:rPr>
          <w:sz w:val="28"/>
        </w:rPr>
      </w:pPr>
      <w:r>
        <w:rPr>
          <w:sz w:val="28"/>
        </w:rPr>
        <w:t xml:space="preserve">Таким образом, в целях </w:t>
      </w:r>
      <w:proofErr w:type="gramStart"/>
      <w:r>
        <w:rPr>
          <w:sz w:val="28"/>
        </w:rPr>
        <w:t>повышения качества планирования развития систем</w:t>
      </w:r>
      <w:proofErr w:type="gramEnd"/>
      <w:r>
        <w:rPr>
          <w:sz w:val="28"/>
        </w:rPr>
        <w:t xml:space="preserve"> ВКХ необходимо:</w:t>
      </w:r>
    </w:p>
    <w:p w:rsidR="00DC5C00" w:rsidRDefault="00DC5C00" w:rsidP="00DC5C00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Встроить в систему установления предельных индексов роста граждан за КУ механизмы, учитывающие финансовые потребности муниципалитета на реализацию ПКР</w:t>
      </w:r>
    </w:p>
    <w:p w:rsidR="00DC5C00" w:rsidRDefault="00DC5C00" w:rsidP="00DC5C00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Разработать порядок, позволяющий более гибко использовать схемы ВКХ для реализации </w:t>
      </w:r>
      <w:r w:rsidR="000C2E07">
        <w:rPr>
          <w:sz w:val="28"/>
        </w:rPr>
        <w:t>мероприятий пространственного развития муниципалитетов.</w:t>
      </w:r>
    </w:p>
    <w:p w:rsidR="000C2E07" w:rsidRDefault="000C2E07" w:rsidP="00DC5C00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lastRenderedPageBreak/>
        <w:t>Увязать процедуры принятия тарифных решений с корректировкой ПКР.</w:t>
      </w:r>
    </w:p>
    <w:p w:rsidR="00710CFC" w:rsidRDefault="00710CFC" w:rsidP="00710CFC">
      <w:pPr>
        <w:pStyle w:val="a3"/>
        <w:numPr>
          <w:ilvl w:val="0"/>
          <w:numId w:val="19"/>
        </w:numPr>
        <w:jc w:val="both"/>
        <w:rPr>
          <w:sz w:val="28"/>
        </w:rPr>
      </w:pPr>
      <w:r w:rsidRPr="00710CFC">
        <w:rPr>
          <w:sz w:val="28"/>
        </w:rPr>
        <w:t>разработка регионами сценариев регулирования сферы ВКХ исходя из тарифных и бюджетных ограничений, достижения целевых показателей по надежности и качеству услуг, заложенных в схемах ВКХ. Согласование выбранного сценария и этапов его реализации с федеральными органами исполнительной власти, уполномоченными в сфере тарифного и отраслевого регулирования</w:t>
      </w:r>
    </w:p>
    <w:p w:rsidR="000C2E07" w:rsidRPr="00DC5C00" w:rsidRDefault="000C2E07" w:rsidP="000C2E07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Включить основные показатели схем ВКХ в </w:t>
      </w:r>
      <w:r w:rsidRPr="000C2E07">
        <w:rPr>
          <w:sz w:val="28"/>
        </w:rPr>
        <w:t>един</w:t>
      </w:r>
      <w:r>
        <w:rPr>
          <w:sz w:val="28"/>
        </w:rPr>
        <w:t xml:space="preserve">ую </w:t>
      </w:r>
      <w:r w:rsidRPr="000C2E07">
        <w:rPr>
          <w:sz w:val="28"/>
        </w:rPr>
        <w:t>систем</w:t>
      </w:r>
      <w:r>
        <w:rPr>
          <w:sz w:val="28"/>
        </w:rPr>
        <w:t>у</w:t>
      </w:r>
      <w:r w:rsidRPr="000C2E07">
        <w:rPr>
          <w:sz w:val="28"/>
        </w:rPr>
        <w:t xml:space="preserve"> отчетности и мониторинга состояния ВКХ</w:t>
      </w:r>
      <w:r>
        <w:rPr>
          <w:sz w:val="28"/>
        </w:rPr>
        <w:t>.</w:t>
      </w:r>
    </w:p>
    <w:p w:rsidR="006565E9" w:rsidRPr="00497CA2" w:rsidRDefault="00497CA2" w:rsidP="00497CA2">
      <w:pPr>
        <w:pStyle w:val="af1"/>
        <w:rPr>
          <w:sz w:val="28"/>
        </w:rPr>
      </w:pPr>
      <w:r>
        <w:rPr>
          <w:sz w:val="28"/>
        </w:rPr>
        <w:t xml:space="preserve">1.3 </w:t>
      </w:r>
      <w:r w:rsidR="006565E9" w:rsidRPr="00497CA2">
        <w:rPr>
          <w:sz w:val="28"/>
        </w:rPr>
        <w:t>Решение проблемы роста дебиторской и кредиторской задолженности</w:t>
      </w:r>
      <w:r w:rsidR="00AC204D" w:rsidRPr="00497CA2">
        <w:rPr>
          <w:sz w:val="28"/>
        </w:rPr>
        <w:t xml:space="preserve"> организаций ВКХ</w:t>
      </w:r>
    </w:p>
    <w:p w:rsidR="00AC204D" w:rsidRDefault="00AC204D" w:rsidP="00497CA2">
      <w:pPr>
        <w:ind w:firstLine="567"/>
        <w:jc w:val="both"/>
        <w:rPr>
          <w:sz w:val="28"/>
        </w:rPr>
      </w:pPr>
      <w:r>
        <w:rPr>
          <w:sz w:val="28"/>
        </w:rPr>
        <w:t>Проблема роста кредиторской и дебиторской задолженности в коммунальном секторе носит системный характер. Негативными факторами, которые влияют на платежную дисциплину</w:t>
      </w:r>
      <w:r w:rsidR="00802C4C">
        <w:rPr>
          <w:sz w:val="28"/>
        </w:rPr>
        <w:t>,</w:t>
      </w:r>
      <w:r>
        <w:rPr>
          <w:sz w:val="28"/>
        </w:rPr>
        <w:t xml:space="preserve"> является фактическая невозможность </w:t>
      </w:r>
      <w:r w:rsidR="006461C8">
        <w:rPr>
          <w:sz w:val="28"/>
        </w:rPr>
        <w:t xml:space="preserve">отключения </w:t>
      </w:r>
      <w:r>
        <w:rPr>
          <w:sz w:val="28"/>
        </w:rPr>
        <w:t>должников</w:t>
      </w:r>
      <w:r w:rsidR="006461C8">
        <w:rPr>
          <w:sz w:val="28"/>
        </w:rPr>
        <w:t xml:space="preserve"> от коммунальной услуги </w:t>
      </w:r>
      <w:r>
        <w:rPr>
          <w:sz w:val="28"/>
        </w:rPr>
        <w:t xml:space="preserve">и дефицит </w:t>
      </w:r>
      <w:r w:rsidR="00802C4C">
        <w:rPr>
          <w:sz w:val="28"/>
        </w:rPr>
        <w:t>денежных средств, вызываемый несбалансированной тарифной политикой.</w:t>
      </w:r>
    </w:p>
    <w:p w:rsidR="005323F2" w:rsidRDefault="000F0966" w:rsidP="00497CA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Государственная политика была нацелена на ужесточение платежной дисциплины по всей цепочке платежей (</w:t>
      </w:r>
      <w:r w:rsidRPr="000F0966">
        <w:rPr>
          <w:sz w:val="28"/>
        </w:rPr>
        <w:t>Федеральный закон от 03.11.2015 г. № 307-ФЗ 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</w:t>
      </w:r>
      <w:r>
        <w:rPr>
          <w:sz w:val="28"/>
        </w:rPr>
        <w:t>), переход на прямые договоры (</w:t>
      </w:r>
      <w:r w:rsidRPr="000F0966">
        <w:rPr>
          <w:sz w:val="28"/>
        </w:rPr>
        <w:t>Федеральный закон от 03.04.2018 г. № 59-ФЗ "О внесении изменений в Жилищный кодекс Российской Федерации"</w:t>
      </w:r>
      <w:r>
        <w:rPr>
          <w:sz w:val="28"/>
        </w:rPr>
        <w:t>) и административным давлением с цел</w:t>
      </w:r>
      <w:r w:rsidR="00497CA2">
        <w:rPr>
          <w:sz w:val="28"/>
        </w:rPr>
        <w:t>ь</w:t>
      </w:r>
      <w:r>
        <w:rPr>
          <w:sz w:val="28"/>
        </w:rPr>
        <w:t>ю оснащения</w:t>
      </w:r>
      <w:proofErr w:type="gramEnd"/>
      <w:r>
        <w:rPr>
          <w:sz w:val="28"/>
        </w:rPr>
        <w:t xml:space="preserve"> МКД приборами учета (</w:t>
      </w:r>
      <w:r w:rsidRPr="000F0966">
        <w:rPr>
          <w:sz w:val="28"/>
        </w:rPr>
        <w:t>Федеральным законом от 23.11.2009 г. №261-ФЗ "Об энергосбережении и о повышении энергетической эффективности и о внесении изменений в отдельные законодательные акты Российской Федерации")</w:t>
      </w:r>
      <w:r w:rsidR="005323F2">
        <w:rPr>
          <w:sz w:val="28"/>
        </w:rPr>
        <w:t xml:space="preserve">. Однако ситуация с ростом неплатежей по всей цепочке продолжает ухудшаться. </w:t>
      </w:r>
    </w:p>
    <w:p w:rsidR="000F0966" w:rsidRPr="000F0966" w:rsidRDefault="005323F2" w:rsidP="00497CA2">
      <w:pPr>
        <w:ind w:firstLine="567"/>
        <w:jc w:val="both"/>
        <w:rPr>
          <w:sz w:val="28"/>
        </w:rPr>
      </w:pPr>
      <w:r>
        <w:rPr>
          <w:sz w:val="28"/>
        </w:rPr>
        <w:t>Основными проблемами являются з</w:t>
      </w:r>
      <w:r w:rsidR="000F0966" w:rsidRPr="000F0966">
        <w:rPr>
          <w:sz w:val="28"/>
        </w:rPr>
        <w:t>аконодательно установленная система «</w:t>
      </w:r>
      <w:proofErr w:type="spellStart"/>
      <w:r w:rsidR="000F0966" w:rsidRPr="000F0966">
        <w:rPr>
          <w:sz w:val="28"/>
        </w:rPr>
        <w:t>постоплаты</w:t>
      </w:r>
      <w:proofErr w:type="spellEnd"/>
      <w:r w:rsidR="000F0966" w:rsidRPr="000F0966">
        <w:rPr>
          <w:sz w:val="28"/>
        </w:rPr>
        <w:t xml:space="preserve">» за </w:t>
      </w:r>
      <w:r>
        <w:rPr>
          <w:sz w:val="28"/>
        </w:rPr>
        <w:t xml:space="preserve">услуги ВКХ, </w:t>
      </w:r>
      <w:r w:rsidR="001915C8">
        <w:rPr>
          <w:sz w:val="28"/>
        </w:rPr>
        <w:t xml:space="preserve">неполнота учета и платежей за поставляемый ресурс в МКХ, </w:t>
      </w:r>
      <w:r>
        <w:rPr>
          <w:sz w:val="28"/>
        </w:rPr>
        <w:t xml:space="preserve">невозможность отключения должников, </w:t>
      </w:r>
      <w:r w:rsidR="001915C8">
        <w:rPr>
          <w:sz w:val="28"/>
        </w:rPr>
        <w:t xml:space="preserve">а также общее недофинансирование организаций ВКХ вследствие применяемой тарифной политики «инфляция минус». </w:t>
      </w:r>
    </w:p>
    <w:p w:rsidR="000F0966" w:rsidRDefault="001915C8" w:rsidP="00497CA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В целях улучшения ситуации с дебиторской и кредиторской задолженностью  организаций ВКХ необходимо:</w:t>
      </w:r>
    </w:p>
    <w:p w:rsidR="000F0966" w:rsidRDefault="00DA2E31" w:rsidP="00497CA2">
      <w:pPr>
        <w:pStyle w:val="a9"/>
        <w:numPr>
          <w:ilvl w:val="0"/>
          <w:numId w:val="20"/>
        </w:numPr>
        <w:jc w:val="both"/>
        <w:rPr>
          <w:rFonts w:ascii="Calibri" w:eastAsia="Calibri" w:hAnsi="Calibri" w:cs="Times New Roman"/>
          <w:sz w:val="28"/>
          <w:szCs w:val="22"/>
        </w:rPr>
      </w:pPr>
      <w:r>
        <w:rPr>
          <w:rFonts w:ascii="Calibri" w:eastAsia="Calibri" w:hAnsi="Calibri" w:cs="Times New Roman"/>
          <w:sz w:val="28"/>
          <w:szCs w:val="22"/>
        </w:rPr>
        <w:t xml:space="preserve">Урегулировать проблему </w:t>
      </w:r>
      <w:proofErr w:type="spellStart"/>
      <w:r>
        <w:rPr>
          <w:rFonts w:ascii="Calibri" w:eastAsia="Calibri" w:hAnsi="Calibri" w:cs="Times New Roman"/>
          <w:sz w:val="28"/>
          <w:szCs w:val="22"/>
        </w:rPr>
        <w:t>постоплаты</w:t>
      </w:r>
      <w:proofErr w:type="spellEnd"/>
      <w:r>
        <w:rPr>
          <w:rFonts w:ascii="Calibri" w:eastAsia="Calibri" w:hAnsi="Calibri" w:cs="Times New Roman"/>
          <w:sz w:val="28"/>
          <w:szCs w:val="22"/>
        </w:rPr>
        <w:t xml:space="preserve"> и невозможности отключения должников от услуг ВКХ, в том числе с применением современных приборов учета и контроля потребления.</w:t>
      </w:r>
    </w:p>
    <w:p w:rsidR="00DA2E31" w:rsidRDefault="00DA2E31" w:rsidP="00497CA2">
      <w:pPr>
        <w:pStyle w:val="a9"/>
        <w:numPr>
          <w:ilvl w:val="0"/>
          <w:numId w:val="20"/>
        </w:numPr>
        <w:jc w:val="both"/>
        <w:rPr>
          <w:rFonts w:ascii="Calibri" w:eastAsia="Calibri" w:hAnsi="Calibri" w:cs="Times New Roman"/>
          <w:sz w:val="28"/>
          <w:szCs w:val="22"/>
        </w:rPr>
      </w:pPr>
      <w:r>
        <w:rPr>
          <w:rFonts w:ascii="Calibri" w:eastAsia="Calibri" w:hAnsi="Calibri" w:cs="Times New Roman"/>
          <w:sz w:val="28"/>
          <w:szCs w:val="22"/>
        </w:rPr>
        <w:t xml:space="preserve">Законодательное урегулирование </w:t>
      </w:r>
      <w:r w:rsidR="006565E9" w:rsidRPr="00210856">
        <w:rPr>
          <w:rFonts w:ascii="Calibri" w:eastAsia="Calibri" w:hAnsi="Calibri" w:cs="Times New Roman"/>
          <w:sz w:val="28"/>
          <w:szCs w:val="22"/>
        </w:rPr>
        <w:t>использовани</w:t>
      </w:r>
      <w:r>
        <w:rPr>
          <w:rFonts w:ascii="Calibri" w:eastAsia="Calibri" w:hAnsi="Calibri" w:cs="Times New Roman"/>
          <w:sz w:val="28"/>
          <w:szCs w:val="22"/>
        </w:rPr>
        <w:t>я</w:t>
      </w:r>
      <w:r w:rsidR="006565E9" w:rsidRPr="00210856">
        <w:rPr>
          <w:rFonts w:ascii="Calibri" w:eastAsia="Calibri" w:hAnsi="Calibri" w:cs="Times New Roman"/>
          <w:sz w:val="28"/>
          <w:szCs w:val="22"/>
        </w:rPr>
        <w:t xml:space="preserve"> альтернативных механизмов снижения дебиторской задолженности, в том числе в части активного использования механизмов передачи долговых обязательств, использования процедур медиации и иных аналогичных процедур, направленных на снижение объема и длительности судебной работы</w:t>
      </w:r>
    </w:p>
    <w:p w:rsidR="0054658E" w:rsidRPr="00DA2E31" w:rsidRDefault="00210856" w:rsidP="00497CA2">
      <w:pPr>
        <w:pStyle w:val="a9"/>
        <w:numPr>
          <w:ilvl w:val="0"/>
          <w:numId w:val="20"/>
        </w:numPr>
        <w:jc w:val="both"/>
        <w:rPr>
          <w:rFonts w:ascii="Calibri" w:eastAsia="Calibri" w:hAnsi="Calibri" w:cs="Times New Roman"/>
          <w:sz w:val="28"/>
          <w:szCs w:val="22"/>
        </w:rPr>
      </w:pPr>
      <w:r w:rsidRPr="00DA2E31">
        <w:rPr>
          <w:sz w:val="28"/>
          <w:szCs w:val="28"/>
        </w:rPr>
        <w:t>совершенствование договорных отношений организаций ВКХ с потребителями услуг ВКХ и поставщиками</w:t>
      </w:r>
      <w:r w:rsidR="0054658E" w:rsidRPr="00DA2E31">
        <w:rPr>
          <w:sz w:val="28"/>
          <w:szCs w:val="28"/>
        </w:rPr>
        <w:t>,</w:t>
      </w:r>
      <w:r w:rsidR="0054658E" w:rsidRPr="0054658E">
        <w:t xml:space="preserve"> </w:t>
      </w:r>
      <w:r w:rsidR="0054658E" w:rsidRPr="00DA2E31">
        <w:rPr>
          <w:sz w:val="28"/>
          <w:szCs w:val="28"/>
        </w:rPr>
        <w:t>совершенствование договорных отношений организаций ВКХ с потребителями услуг ВКХ и поставщиками, совершенствование законодательства о прямых договорах</w:t>
      </w:r>
    </w:p>
    <w:p w:rsidR="00940052" w:rsidRDefault="00940052" w:rsidP="00940052">
      <w:pPr>
        <w:spacing w:after="0" w:line="240" w:lineRule="auto"/>
        <w:ind w:left="317"/>
        <w:contextualSpacing/>
        <w:jc w:val="both"/>
        <w:rPr>
          <w:sz w:val="28"/>
        </w:rPr>
      </w:pPr>
    </w:p>
    <w:p w:rsidR="00497CA2" w:rsidRPr="00497CA2" w:rsidRDefault="00497CA2" w:rsidP="00497CA2">
      <w:pPr>
        <w:spacing w:after="0" w:line="240" w:lineRule="auto"/>
        <w:ind w:left="317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 xml:space="preserve">1.4 </w:t>
      </w:r>
      <w:r w:rsidR="000E5C62" w:rsidRPr="00497CA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 xml:space="preserve">Внедрение концепции оценки стоимости оборудования, систем и сооружений водоснабжения и водоотведения на основе </w:t>
      </w:r>
      <w:proofErr w:type="gramStart"/>
      <w:r w:rsidR="00E2655E" w:rsidRPr="00497CA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>принцип</w:t>
      </w:r>
      <w:r w:rsidR="000E5C62" w:rsidRPr="00497CA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>ов</w:t>
      </w:r>
      <w:r w:rsidR="00E2655E" w:rsidRPr="00497CA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 xml:space="preserve"> оценки стоимости </w:t>
      </w:r>
      <w:r w:rsidR="000E5C62" w:rsidRPr="00497CA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 xml:space="preserve">затрат </w:t>
      </w:r>
      <w:r w:rsidR="00E2655E" w:rsidRPr="00497CA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>жизненного цикла</w:t>
      </w:r>
      <w:proofErr w:type="gramEnd"/>
    </w:p>
    <w:p w:rsidR="00497CA2" w:rsidRDefault="00497CA2" w:rsidP="000E5C62">
      <w:pPr>
        <w:ind w:firstLine="426"/>
        <w:jc w:val="both"/>
        <w:rPr>
          <w:sz w:val="28"/>
        </w:rPr>
      </w:pPr>
    </w:p>
    <w:p w:rsidR="00940052" w:rsidRDefault="00847714" w:rsidP="00497CA2">
      <w:pPr>
        <w:ind w:firstLine="567"/>
        <w:jc w:val="both"/>
        <w:rPr>
          <w:sz w:val="28"/>
        </w:rPr>
      </w:pPr>
      <w:r>
        <w:rPr>
          <w:sz w:val="28"/>
        </w:rPr>
        <w:t xml:space="preserve">Оценка затрат на новое строительство, модернизацию и ремонты не является системной. Законодательство о закупках, регулирование тарифной деятельности и планирование государственных программ развития ВКХ не увязываются в единую систему и не позволяют оптимально решать задачи повышения общей эффективности проектов, </w:t>
      </w:r>
      <w:proofErr w:type="spellStart"/>
      <w:r>
        <w:rPr>
          <w:sz w:val="28"/>
        </w:rPr>
        <w:t>ресурс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 энергоэффективности, производительности труда.</w:t>
      </w:r>
    </w:p>
    <w:p w:rsidR="00847714" w:rsidRDefault="00902DB5" w:rsidP="00497CA2">
      <w:pPr>
        <w:ind w:firstLine="567"/>
        <w:jc w:val="both"/>
        <w:rPr>
          <w:sz w:val="28"/>
        </w:rPr>
      </w:pPr>
      <w:r>
        <w:rPr>
          <w:sz w:val="28"/>
        </w:rPr>
        <w:t xml:space="preserve">Стремление к повышению эффективности затрат на каждом сегменте </w:t>
      </w:r>
      <w:r w:rsidR="002500BD">
        <w:rPr>
          <w:sz w:val="28"/>
        </w:rPr>
        <w:t xml:space="preserve">производственной и инвестиционной программ </w:t>
      </w:r>
      <w:r>
        <w:rPr>
          <w:sz w:val="28"/>
        </w:rPr>
        <w:t xml:space="preserve">приводит к </w:t>
      </w:r>
      <w:r w:rsidR="000A2388">
        <w:rPr>
          <w:sz w:val="28"/>
        </w:rPr>
        <w:t xml:space="preserve">выбору более дешевых решений, требующих значительно больших затрат на эксплуатацию. </w:t>
      </w:r>
    </w:p>
    <w:p w:rsidR="002F0FE8" w:rsidRPr="002F0FE8" w:rsidRDefault="002F0FE8" w:rsidP="00497CA2">
      <w:pPr>
        <w:ind w:firstLine="567"/>
        <w:jc w:val="both"/>
        <w:rPr>
          <w:sz w:val="28"/>
        </w:rPr>
      </w:pPr>
      <w:r w:rsidRPr="002F0FE8">
        <w:rPr>
          <w:sz w:val="28"/>
        </w:rPr>
        <w:t>Методи</w:t>
      </w:r>
      <w:r>
        <w:rPr>
          <w:sz w:val="28"/>
        </w:rPr>
        <w:t>ка</w:t>
      </w:r>
      <w:r w:rsidRPr="002F0FE8">
        <w:rPr>
          <w:sz w:val="28"/>
        </w:rPr>
        <w:t xml:space="preserve"> </w:t>
      </w:r>
      <w:r>
        <w:rPr>
          <w:sz w:val="28"/>
        </w:rPr>
        <w:t>СЖЦ</w:t>
      </w:r>
      <w:r w:rsidRPr="002F0FE8">
        <w:rPr>
          <w:sz w:val="28"/>
        </w:rPr>
        <w:t xml:space="preserve"> </w:t>
      </w:r>
      <w:r w:rsidR="00ED3D9C">
        <w:rPr>
          <w:sz w:val="28"/>
        </w:rPr>
        <w:t>должна включать</w:t>
      </w:r>
      <w:r w:rsidRPr="002F0FE8">
        <w:rPr>
          <w:sz w:val="28"/>
        </w:rPr>
        <w:t xml:space="preserve"> полн</w:t>
      </w:r>
      <w:r w:rsidR="00ED3D9C">
        <w:rPr>
          <w:sz w:val="28"/>
        </w:rPr>
        <w:t>ый расчет</w:t>
      </w:r>
      <w:r w:rsidRPr="002F0FE8">
        <w:rPr>
          <w:sz w:val="28"/>
        </w:rPr>
        <w:t xml:space="preserve"> стоимости жизненного цикла для объекта водоснабжения и водоотведения за расчетный период проекта СЖЦ, включая все виды капитальных и эксплуатационных затрат, вплоть до затра</w:t>
      </w:r>
      <w:r w:rsidR="00ED3D9C">
        <w:rPr>
          <w:sz w:val="28"/>
        </w:rPr>
        <w:t xml:space="preserve">т на его демонтаж и утилизацию и учитывать </w:t>
      </w:r>
      <w:r w:rsidRPr="002F0FE8">
        <w:rPr>
          <w:sz w:val="28"/>
        </w:rPr>
        <w:t>вариант</w:t>
      </w:r>
      <w:r w:rsidR="00ED3D9C">
        <w:rPr>
          <w:sz w:val="28"/>
        </w:rPr>
        <w:t>ы</w:t>
      </w:r>
      <w:r w:rsidRPr="002F0FE8">
        <w:rPr>
          <w:sz w:val="28"/>
        </w:rPr>
        <w:t xml:space="preserve"> исполнения объекта ВИВ в качестве:</w:t>
      </w:r>
    </w:p>
    <w:p w:rsidR="002F0FE8" w:rsidRPr="002F0FE8" w:rsidRDefault="002F0FE8" w:rsidP="00497CA2">
      <w:pPr>
        <w:ind w:firstLine="567"/>
        <w:jc w:val="both"/>
        <w:rPr>
          <w:sz w:val="28"/>
        </w:rPr>
      </w:pPr>
      <w:r w:rsidRPr="002F0FE8">
        <w:rPr>
          <w:sz w:val="28"/>
        </w:rPr>
        <w:lastRenderedPageBreak/>
        <w:t>–вновь создаваемого или используемого объекта;</w:t>
      </w:r>
    </w:p>
    <w:p w:rsidR="002F0FE8" w:rsidRPr="002F0FE8" w:rsidRDefault="002F0FE8" w:rsidP="00497CA2">
      <w:pPr>
        <w:ind w:firstLine="567"/>
        <w:jc w:val="both"/>
        <w:rPr>
          <w:sz w:val="28"/>
        </w:rPr>
      </w:pPr>
      <w:r w:rsidRPr="002F0FE8">
        <w:rPr>
          <w:sz w:val="28"/>
        </w:rPr>
        <w:t>– реконструируемого объекта;</w:t>
      </w:r>
    </w:p>
    <w:p w:rsidR="00051FFA" w:rsidRPr="000E5C62" w:rsidRDefault="002F0FE8" w:rsidP="00497CA2">
      <w:pPr>
        <w:ind w:firstLine="567"/>
        <w:jc w:val="both"/>
        <w:rPr>
          <w:sz w:val="28"/>
        </w:rPr>
      </w:pPr>
      <w:r w:rsidRPr="002F0FE8">
        <w:rPr>
          <w:sz w:val="28"/>
        </w:rPr>
        <w:t>–использования по категории принадлежности: товар, оборудование; капитальны</w:t>
      </w:r>
      <w:r w:rsidR="00ED3D9C">
        <w:rPr>
          <w:sz w:val="28"/>
        </w:rPr>
        <w:t>й</w:t>
      </w:r>
      <w:r w:rsidRPr="002F0FE8">
        <w:rPr>
          <w:sz w:val="28"/>
        </w:rPr>
        <w:t xml:space="preserve"> объект ВКХ;</w:t>
      </w:r>
      <w:r w:rsidR="00ED3D9C">
        <w:rPr>
          <w:sz w:val="28"/>
        </w:rPr>
        <w:t xml:space="preserve"> о</w:t>
      </w:r>
      <w:r w:rsidRPr="002F0FE8">
        <w:rPr>
          <w:sz w:val="28"/>
        </w:rPr>
        <w:t>бъект, характеризуем</w:t>
      </w:r>
      <w:r w:rsidR="00ED3D9C">
        <w:rPr>
          <w:sz w:val="28"/>
        </w:rPr>
        <w:t>ый</w:t>
      </w:r>
      <w:r w:rsidRPr="002F0FE8">
        <w:rPr>
          <w:sz w:val="28"/>
        </w:rPr>
        <w:t xml:space="preserve"> технической и технолог</w:t>
      </w:r>
      <w:r w:rsidR="00ED3D9C">
        <w:rPr>
          <w:sz w:val="28"/>
        </w:rPr>
        <w:t>ической системой характеристик.</w:t>
      </w:r>
    </w:p>
    <w:p w:rsidR="00C40BBF" w:rsidRDefault="00C40BBF" w:rsidP="00497CA2">
      <w:pPr>
        <w:ind w:firstLine="567"/>
        <w:jc w:val="both"/>
        <w:rPr>
          <w:sz w:val="28"/>
        </w:rPr>
      </w:pPr>
      <w:r>
        <w:rPr>
          <w:sz w:val="28"/>
        </w:rPr>
        <w:t xml:space="preserve">Предлагается </w:t>
      </w:r>
      <w:r w:rsidR="00BA53D9">
        <w:rPr>
          <w:sz w:val="28"/>
        </w:rPr>
        <w:t xml:space="preserve">внедрить </w:t>
      </w:r>
      <w:r w:rsidR="00BA53D9" w:rsidRPr="00BA53D9">
        <w:rPr>
          <w:sz w:val="28"/>
        </w:rPr>
        <w:t>критери</w:t>
      </w:r>
      <w:r w:rsidR="00BA53D9">
        <w:rPr>
          <w:sz w:val="28"/>
        </w:rPr>
        <w:t xml:space="preserve">й «стоимость жизненного цикла», рассчитанный </w:t>
      </w:r>
      <w:r>
        <w:rPr>
          <w:sz w:val="28"/>
        </w:rPr>
        <w:t xml:space="preserve">на основе </w:t>
      </w:r>
      <w:proofErr w:type="gramStart"/>
      <w:r w:rsidRPr="00C40BBF">
        <w:rPr>
          <w:sz w:val="28"/>
        </w:rPr>
        <w:t>Методик</w:t>
      </w:r>
      <w:r>
        <w:rPr>
          <w:sz w:val="28"/>
        </w:rPr>
        <w:t>и</w:t>
      </w:r>
      <w:r w:rsidRPr="00C40BBF">
        <w:rPr>
          <w:sz w:val="28"/>
        </w:rPr>
        <w:t xml:space="preserve"> расчета стоимости Затрат Жизненного Цикла</w:t>
      </w:r>
      <w:proofErr w:type="gramEnd"/>
      <w:r>
        <w:rPr>
          <w:sz w:val="28"/>
        </w:rPr>
        <w:t xml:space="preserve"> </w:t>
      </w:r>
      <w:r w:rsidRPr="00C40BBF">
        <w:rPr>
          <w:sz w:val="28"/>
        </w:rPr>
        <w:t>оборудования, систем и сооружений водоснабжения и водоотведения</w:t>
      </w:r>
      <w:r>
        <w:rPr>
          <w:sz w:val="28"/>
        </w:rPr>
        <w:t>, подготовленного ЭТС РАВВ</w:t>
      </w:r>
      <w:r w:rsidR="00BA53D9">
        <w:rPr>
          <w:sz w:val="28"/>
        </w:rPr>
        <w:t>:</w:t>
      </w:r>
    </w:p>
    <w:p w:rsidR="00BA53D9" w:rsidRPr="00C36A8A" w:rsidRDefault="00497CA2" w:rsidP="00497CA2">
      <w:pPr>
        <w:pStyle w:val="a3"/>
        <w:numPr>
          <w:ilvl w:val="0"/>
          <w:numId w:val="21"/>
        </w:numPr>
        <w:jc w:val="both"/>
        <w:rPr>
          <w:sz w:val="28"/>
        </w:rPr>
      </w:pPr>
      <w:r w:rsidRPr="00C36A8A">
        <w:rPr>
          <w:sz w:val="28"/>
        </w:rPr>
        <w:t xml:space="preserve">в законодательство </w:t>
      </w:r>
      <w:r w:rsidR="00BA53D9" w:rsidRPr="00C36A8A">
        <w:rPr>
          <w:sz w:val="28"/>
        </w:rPr>
        <w:t xml:space="preserve">о закупочной </w:t>
      </w:r>
      <w:r w:rsidR="00C36A8A" w:rsidRPr="00C36A8A">
        <w:rPr>
          <w:sz w:val="28"/>
        </w:rPr>
        <w:t>деятельности</w:t>
      </w:r>
    </w:p>
    <w:p w:rsidR="00BA53D9" w:rsidRPr="00C36A8A" w:rsidRDefault="00497CA2" w:rsidP="00497CA2">
      <w:pPr>
        <w:pStyle w:val="a3"/>
        <w:numPr>
          <w:ilvl w:val="0"/>
          <w:numId w:val="21"/>
        </w:numPr>
        <w:jc w:val="both"/>
        <w:rPr>
          <w:sz w:val="28"/>
        </w:rPr>
      </w:pPr>
      <w:r w:rsidRPr="00C36A8A">
        <w:rPr>
          <w:sz w:val="28"/>
        </w:rPr>
        <w:t xml:space="preserve">РЕГУЛИРОВАНИЯ </w:t>
      </w:r>
      <w:r w:rsidR="00BA53D9" w:rsidRPr="00C36A8A">
        <w:rPr>
          <w:sz w:val="28"/>
        </w:rPr>
        <w:t>тарифов в ВКХ</w:t>
      </w:r>
    </w:p>
    <w:p w:rsidR="00BA53D9" w:rsidRPr="00C36A8A" w:rsidRDefault="00497CA2" w:rsidP="00497CA2">
      <w:pPr>
        <w:pStyle w:val="a3"/>
        <w:numPr>
          <w:ilvl w:val="0"/>
          <w:numId w:val="21"/>
        </w:numPr>
        <w:jc w:val="both"/>
        <w:rPr>
          <w:sz w:val="28"/>
        </w:rPr>
      </w:pPr>
      <w:r w:rsidRPr="00C36A8A">
        <w:rPr>
          <w:sz w:val="28"/>
        </w:rPr>
        <w:t xml:space="preserve">в </w:t>
      </w:r>
      <w:r w:rsidR="00C36A8A" w:rsidRPr="00C36A8A">
        <w:rPr>
          <w:sz w:val="28"/>
        </w:rPr>
        <w:t>документы, регламентирующие порядок финансирования проектов за счет бюджетной системы</w:t>
      </w:r>
    </w:p>
    <w:p w:rsidR="00CA106A" w:rsidRPr="00497CA2" w:rsidRDefault="00497CA2" w:rsidP="00497CA2">
      <w:pPr>
        <w:spacing w:after="0" w:line="240" w:lineRule="auto"/>
        <w:ind w:left="317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 xml:space="preserve">1.5 </w:t>
      </w:r>
      <w:r w:rsidR="00CA106A" w:rsidRPr="00497CA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>Гармонизация законодательства в вопросах использования подземных вод</w:t>
      </w:r>
    </w:p>
    <w:p w:rsidR="00F9530F" w:rsidRDefault="00F9530F" w:rsidP="00940052">
      <w:pPr>
        <w:spacing w:after="0" w:line="240" w:lineRule="auto"/>
        <w:ind w:left="317"/>
        <w:contextualSpacing/>
        <w:rPr>
          <w:b/>
          <w:sz w:val="28"/>
        </w:rPr>
      </w:pPr>
    </w:p>
    <w:p w:rsidR="00F9530F" w:rsidRPr="00F9530F" w:rsidRDefault="00F9530F" w:rsidP="00940052">
      <w:pPr>
        <w:spacing w:after="0" w:line="240" w:lineRule="auto"/>
        <w:ind w:left="317"/>
        <w:contextualSpacing/>
        <w:rPr>
          <w:sz w:val="28"/>
        </w:rPr>
      </w:pPr>
      <w:r w:rsidRPr="00F9530F">
        <w:rPr>
          <w:sz w:val="28"/>
        </w:rPr>
        <w:t>Необходимо:</w:t>
      </w:r>
    </w:p>
    <w:p w:rsidR="00CA106A" w:rsidRPr="00CA106A" w:rsidRDefault="00CA106A" w:rsidP="00CA106A">
      <w:pPr>
        <w:spacing w:after="0" w:line="240" w:lineRule="auto"/>
        <w:ind w:left="993"/>
        <w:contextualSpacing/>
        <w:jc w:val="both"/>
        <w:rPr>
          <w:sz w:val="28"/>
        </w:rPr>
      </w:pPr>
      <w:r w:rsidRPr="00CA106A">
        <w:rPr>
          <w:sz w:val="28"/>
        </w:rPr>
        <w:t>•</w:t>
      </w:r>
      <w:r w:rsidRPr="00CA106A">
        <w:rPr>
          <w:sz w:val="28"/>
        </w:rPr>
        <w:tab/>
        <w:t>Изменение порядка резервирования имеющихся скважин и колодцев для добычи подземных вод, а также создания новых резервных скважин и водозаборов на случаи стихийных бедствий и других чрезвычайных ситуации для организации защищенного питьевого и хозяйственно-бытового водоснабжения. Проведение ревизии состояния государственной системы наблюдательных скважин и анализ эффективности системы мониторинга подземных вод</w:t>
      </w:r>
    </w:p>
    <w:p w:rsidR="00CA106A" w:rsidRPr="00CA106A" w:rsidRDefault="00CA106A" w:rsidP="00CA106A">
      <w:pPr>
        <w:spacing w:after="0" w:line="240" w:lineRule="auto"/>
        <w:ind w:left="993"/>
        <w:contextualSpacing/>
        <w:jc w:val="both"/>
        <w:rPr>
          <w:sz w:val="28"/>
        </w:rPr>
      </w:pPr>
      <w:r w:rsidRPr="00CA106A">
        <w:rPr>
          <w:sz w:val="28"/>
        </w:rPr>
        <w:t>•</w:t>
      </w:r>
      <w:r w:rsidRPr="00CA106A">
        <w:rPr>
          <w:sz w:val="28"/>
        </w:rPr>
        <w:tab/>
        <w:t xml:space="preserve">Проведение геолого-экономической и экологической экспертизы состояния запасов и прогнозных ресурсов подземных вод. </w:t>
      </w:r>
    </w:p>
    <w:p w:rsidR="00CA106A" w:rsidRDefault="00CA106A" w:rsidP="00CA106A">
      <w:pPr>
        <w:spacing w:after="0" w:line="240" w:lineRule="auto"/>
        <w:ind w:left="993"/>
        <w:contextualSpacing/>
        <w:jc w:val="both"/>
        <w:rPr>
          <w:sz w:val="28"/>
        </w:rPr>
      </w:pPr>
      <w:r w:rsidRPr="00CA106A">
        <w:rPr>
          <w:sz w:val="28"/>
        </w:rPr>
        <w:t>•</w:t>
      </w:r>
      <w:r w:rsidRPr="00CA106A">
        <w:rPr>
          <w:sz w:val="28"/>
        </w:rPr>
        <w:tab/>
        <w:t>Изменение правового статуса родников и гейзеров путем отнесения их к объектам подземных вод</w:t>
      </w:r>
    </w:p>
    <w:p w:rsidR="00940052" w:rsidRDefault="00940052" w:rsidP="00940052">
      <w:pPr>
        <w:spacing w:after="0" w:line="240" w:lineRule="auto"/>
        <w:ind w:left="317"/>
        <w:contextualSpacing/>
        <w:jc w:val="both"/>
        <w:rPr>
          <w:sz w:val="28"/>
        </w:rPr>
      </w:pPr>
    </w:p>
    <w:p w:rsidR="00940052" w:rsidRPr="00497CA2" w:rsidRDefault="00497CA2" w:rsidP="00497CA2">
      <w:pPr>
        <w:spacing w:after="0" w:line="240" w:lineRule="auto"/>
        <w:ind w:left="317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 xml:space="preserve">1.6 </w:t>
      </w:r>
      <w:r w:rsidR="00940052" w:rsidRPr="00497CA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4"/>
        </w:rPr>
        <w:t>Создание правовых механизмов обращения с осадком сточных вод</w:t>
      </w:r>
    </w:p>
    <w:p w:rsidR="00C131F8" w:rsidRDefault="00C131F8" w:rsidP="00C131F8">
      <w:pPr>
        <w:spacing w:after="0" w:line="240" w:lineRule="auto"/>
        <w:ind w:left="993"/>
        <w:contextualSpacing/>
        <w:jc w:val="both"/>
        <w:rPr>
          <w:sz w:val="28"/>
        </w:rPr>
      </w:pPr>
    </w:p>
    <w:p w:rsidR="006A03D2" w:rsidRPr="006A03D2" w:rsidRDefault="006A03D2" w:rsidP="00497CA2">
      <w:pPr>
        <w:ind w:firstLine="567"/>
        <w:jc w:val="both"/>
        <w:rPr>
          <w:sz w:val="28"/>
        </w:rPr>
      </w:pPr>
      <w:r w:rsidRPr="006A03D2">
        <w:rPr>
          <w:sz w:val="28"/>
        </w:rPr>
        <w:t xml:space="preserve">Наиболее приоритетными направлениями государственной политики в области обращения с отходами являются: максимальное использование исходных сырья и материалов и предотвращение образования отходов </w:t>
      </w:r>
      <w:r w:rsidRPr="006A03D2">
        <w:rPr>
          <w:sz w:val="28"/>
        </w:rPr>
        <w:lastRenderedPageBreak/>
        <w:t>(Федеральный закон № 89-ФЗ от 24.06.1998 г. «Об отходах производства и потребления»).</w:t>
      </w:r>
    </w:p>
    <w:p w:rsidR="006A03D2" w:rsidRPr="006A03D2" w:rsidRDefault="006A03D2" w:rsidP="00497CA2">
      <w:pPr>
        <w:ind w:firstLine="567"/>
        <w:jc w:val="both"/>
        <w:rPr>
          <w:sz w:val="28"/>
        </w:rPr>
      </w:pPr>
      <w:r w:rsidRPr="006A03D2">
        <w:rPr>
          <w:sz w:val="28"/>
        </w:rPr>
        <w:t xml:space="preserve">В ходе осуществления организациями водопроводно-канализационного хозяйства водоснабжения и водоотведения образуются осадки сточных вод и водоподготовки. После обработки в соответствии с установленными требованиями осадки водоподготовки могут быть использованы в качестве вторичных материалов для технической рекультивации нарушенных земель, а также в качестве вторичного сырья в строительной промышленности, осадки сточных вод - в качестве местных органических удобрений, </w:t>
      </w:r>
      <w:proofErr w:type="spellStart"/>
      <w:r w:rsidRPr="006A03D2">
        <w:rPr>
          <w:sz w:val="28"/>
        </w:rPr>
        <w:t>почвогрунтов</w:t>
      </w:r>
      <w:proofErr w:type="spellEnd"/>
      <w:r w:rsidRPr="006A03D2">
        <w:rPr>
          <w:sz w:val="28"/>
        </w:rPr>
        <w:t xml:space="preserve">, материала для рекультивации нарушенных земель, а также для формирования компостов и других целей (ГОСТ </w:t>
      </w:r>
      <w:proofErr w:type="gramStart"/>
      <w:r w:rsidRPr="006A03D2">
        <w:rPr>
          <w:sz w:val="28"/>
        </w:rPr>
        <w:t>Р</w:t>
      </w:r>
      <w:proofErr w:type="gramEnd"/>
      <w:r w:rsidRPr="006A03D2">
        <w:rPr>
          <w:sz w:val="28"/>
        </w:rPr>
        <w:t xml:space="preserve"> 54098-2010. Национальный стандарт Российской Федерации. Ресурсосбережение. Вторичные материальные ресурсы. </w:t>
      </w:r>
      <w:proofErr w:type="gramStart"/>
      <w:r w:rsidRPr="006A03D2">
        <w:rPr>
          <w:sz w:val="28"/>
        </w:rPr>
        <w:t>Термины и определения).</w:t>
      </w:r>
      <w:proofErr w:type="gramEnd"/>
    </w:p>
    <w:p w:rsidR="006A03D2" w:rsidRPr="006A03D2" w:rsidRDefault="006A03D2" w:rsidP="00497CA2">
      <w:pPr>
        <w:ind w:firstLine="567"/>
        <w:jc w:val="both"/>
        <w:rPr>
          <w:sz w:val="28"/>
        </w:rPr>
      </w:pPr>
      <w:r w:rsidRPr="006A03D2">
        <w:rPr>
          <w:sz w:val="28"/>
        </w:rPr>
        <w:t>В настоящее время большая часть образующихся водопроводных осадков и осадков сточных вод после соответствующей обработки не используется в качестве сырья или продукции, а как отходы размещается в объектах размещения отходов.</w:t>
      </w:r>
    </w:p>
    <w:p w:rsidR="006A03D2" w:rsidRPr="006A03D2" w:rsidRDefault="006A03D2" w:rsidP="00497CA2">
      <w:pPr>
        <w:ind w:firstLine="567"/>
        <w:jc w:val="both"/>
        <w:rPr>
          <w:sz w:val="28"/>
        </w:rPr>
      </w:pPr>
      <w:r w:rsidRPr="006A03D2">
        <w:rPr>
          <w:sz w:val="28"/>
        </w:rPr>
        <w:t xml:space="preserve">Имеют место ситуации, когда организация водопроводно-канализационного хозяйства не имеет возможности разместить прошедшие обработку осадки сточных вод и водоподготовки в объекте размещения отходов по причине отказа организации, эксплуатирующей данный объект, принимать такие отходы. Следствием этого является </w:t>
      </w:r>
      <w:proofErr w:type="gramStart"/>
      <w:r w:rsidRPr="006A03D2">
        <w:rPr>
          <w:sz w:val="28"/>
        </w:rPr>
        <w:t>неизбежное</w:t>
      </w:r>
      <w:proofErr w:type="gramEnd"/>
      <w:r w:rsidRPr="006A03D2">
        <w:rPr>
          <w:sz w:val="28"/>
        </w:rPr>
        <w:t xml:space="preserve"> накоплению осадков на объектах по их обработке, площади которых ограничены. Это в свою очередь может привести к невозможности обработки осадков в соответствии с установленными требованиями. </w:t>
      </w:r>
    </w:p>
    <w:p w:rsidR="006A03D2" w:rsidRDefault="006A03D2" w:rsidP="00497CA2">
      <w:pPr>
        <w:ind w:firstLine="567"/>
        <w:jc w:val="both"/>
        <w:rPr>
          <w:sz w:val="28"/>
        </w:rPr>
      </w:pPr>
      <w:r w:rsidRPr="006A03D2">
        <w:rPr>
          <w:sz w:val="28"/>
        </w:rPr>
        <w:t>Также переполнение объектов по обработке осадков может стать причиной невозможности модернизации очистных сооружений в случае, когда строительству новых объектов предшествует необходимое сокращение площадей объектов по обработке осадков. Таким образом, отказ в размещении отходов в перспективе не позволит снизить негативное воздействие на окружающую среду.</w:t>
      </w:r>
    </w:p>
    <w:p w:rsidR="006A03D2" w:rsidRPr="006A03D2" w:rsidRDefault="006A03D2" w:rsidP="00497CA2">
      <w:pPr>
        <w:ind w:firstLine="567"/>
        <w:jc w:val="both"/>
        <w:rPr>
          <w:sz w:val="28"/>
        </w:rPr>
      </w:pPr>
      <w:r w:rsidRPr="006A03D2">
        <w:rPr>
          <w:sz w:val="28"/>
        </w:rPr>
        <w:t xml:space="preserve">С учётом </w:t>
      </w:r>
      <w:proofErr w:type="gramStart"/>
      <w:r w:rsidRPr="006A03D2">
        <w:rPr>
          <w:sz w:val="28"/>
        </w:rPr>
        <w:t>изложенного</w:t>
      </w:r>
      <w:proofErr w:type="gramEnd"/>
      <w:r w:rsidRPr="006A03D2">
        <w:rPr>
          <w:sz w:val="28"/>
        </w:rPr>
        <w:t>, предлагается: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>1.</w:t>
      </w:r>
      <w:r w:rsidRPr="006A03D2">
        <w:rPr>
          <w:sz w:val="28"/>
        </w:rPr>
        <w:tab/>
        <w:t xml:space="preserve">Ускорить принятие проекта федерального закона «О внесении изменений в Федеральный закон «О водоснабжении и водоотведении» и </w:t>
      </w:r>
      <w:r w:rsidRPr="006A03D2">
        <w:rPr>
          <w:sz w:val="28"/>
        </w:rPr>
        <w:lastRenderedPageBreak/>
        <w:t>отдельные законодательные акты Российской Федерации», разработанного Минстроем России</w:t>
      </w:r>
      <w:proofErr w:type="gramStart"/>
      <w:r w:rsidRPr="006A03D2">
        <w:rPr>
          <w:sz w:val="28"/>
        </w:rPr>
        <w:t xml:space="preserve">., </w:t>
      </w:r>
      <w:proofErr w:type="gramEnd"/>
      <w:r w:rsidRPr="006A03D2">
        <w:rPr>
          <w:sz w:val="28"/>
        </w:rPr>
        <w:t>предусматривающего:</w:t>
      </w:r>
    </w:p>
    <w:p w:rsidR="006A03D2" w:rsidRPr="006A03D2" w:rsidRDefault="006A03D2" w:rsidP="00497CA2">
      <w:pPr>
        <w:pStyle w:val="a9"/>
        <w:ind w:left="567" w:firstLine="284"/>
        <w:jc w:val="both"/>
        <w:rPr>
          <w:sz w:val="28"/>
        </w:rPr>
      </w:pPr>
      <w:r w:rsidRPr="006A03D2">
        <w:rPr>
          <w:sz w:val="28"/>
        </w:rPr>
        <w:t>•</w:t>
      </w:r>
      <w:r w:rsidRPr="006A03D2">
        <w:rPr>
          <w:sz w:val="28"/>
        </w:rPr>
        <w:tab/>
        <w:t xml:space="preserve">регулирование обращения с осадком сточных вод на объектах водоотведения (включая иловые карты) в соответствии с законодательством о водоснабжении и водоотведении как составной части процесса водоотведения; </w:t>
      </w:r>
    </w:p>
    <w:p w:rsidR="006A03D2" w:rsidRPr="006A03D2" w:rsidRDefault="006A03D2" w:rsidP="00497CA2">
      <w:pPr>
        <w:pStyle w:val="a9"/>
        <w:ind w:left="567" w:firstLine="284"/>
        <w:jc w:val="both"/>
        <w:rPr>
          <w:sz w:val="28"/>
        </w:rPr>
      </w:pPr>
      <w:r w:rsidRPr="006A03D2">
        <w:rPr>
          <w:sz w:val="28"/>
        </w:rPr>
        <w:t>•</w:t>
      </w:r>
      <w:r w:rsidRPr="006A03D2">
        <w:rPr>
          <w:sz w:val="28"/>
        </w:rPr>
        <w:tab/>
        <w:t xml:space="preserve">приоритетность методов повторного использования осадков для использования полезных </w:t>
      </w:r>
      <w:proofErr w:type="gramStart"/>
      <w:r w:rsidRPr="006A03D2">
        <w:rPr>
          <w:sz w:val="28"/>
        </w:rPr>
        <w:t>свойств</w:t>
      </w:r>
      <w:proofErr w:type="gramEnd"/>
      <w:r w:rsidRPr="006A03D2">
        <w:rPr>
          <w:sz w:val="28"/>
        </w:rPr>
        <w:t xml:space="preserve"> подготовленного осадка в качестве удобрений, </w:t>
      </w:r>
      <w:proofErr w:type="spellStart"/>
      <w:r w:rsidRPr="006A03D2">
        <w:rPr>
          <w:sz w:val="28"/>
        </w:rPr>
        <w:t>почвогрунтов</w:t>
      </w:r>
      <w:proofErr w:type="spellEnd"/>
      <w:r w:rsidRPr="006A03D2">
        <w:rPr>
          <w:sz w:val="28"/>
        </w:rPr>
        <w:t xml:space="preserve"> для благоустройства городских общественных зелёных зон, материала для рекультивации нарушенных земель, изолирующего материала для полигонов твёрдых коммунальных и промышленных отходов, а также использование осадка или продуктов его переработки для производства продукции; </w:t>
      </w:r>
    </w:p>
    <w:p w:rsidR="006A03D2" w:rsidRPr="006A03D2" w:rsidRDefault="006A03D2" w:rsidP="00497CA2">
      <w:pPr>
        <w:pStyle w:val="a9"/>
        <w:ind w:left="567" w:firstLine="284"/>
        <w:jc w:val="both"/>
        <w:rPr>
          <w:sz w:val="28"/>
        </w:rPr>
      </w:pPr>
      <w:r w:rsidRPr="006A03D2">
        <w:rPr>
          <w:sz w:val="28"/>
        </w:rPr>
        <w:t>•</w:t>
      </w:r>
      <w:r w:rsidRPr="006A03D2">
        <w:rPr>
          <w:sz w:val="28"/>
        </w:rPr>
        <w:tab/>
        <w:t xml:space="preserve">наделение Правительства Российской Федерации полномочиями по определению в Правилах холодного водоснабжения и водоотведения правил обращения с осадком сточных вод на сооружениях централизованной системы водоотведения; </w:t>
      </w:r>
    </w:p>
    <w:p w:rsidR="006A03D2" w:rsidRPr="006A03D2" w:rsidRDefault="006A03D2" w:rsidP="00497CA2">
      <w:pPr>
        <w:pStyle w:val="a9"/>
        <w:ind w:left="567" w:firstLine="284"/>
        <w:jc w:val="both"/>
        <w:rPr>
          <w:sz w:val="28"/>
        </w:rPr>
      </w:pPr>
      <w:r w:rsidRPr="006A03D2">
        <w:rPr>
          <w:sz w:val="28"/>
        </w:rPr>
        <w:t>•</w:t>
      </w:r>
      <w:r w:rsidRPr="006A03D2">
        <w:rPr>
          <w:sz w:val="28"/>
        </w:rPr>
        <w:tab/>
        <w:t xml:space="preserve">приоритетность использования осадка сточных вод в качестве удобрений, </w:t>
      </w:r>
      <w:proofErr w:type="spellStart"/>
      <w:r w:rsidRPr="006A03D2">
        <w:rPr>
          <w:sz w:val="28"/>
        </w:rPr>
        <w:t>почвогрунтов</w:t>
      </w:r>
      <w:proofErr w:type="spellEnd"/>
      <w:r w:rsidRPr="006A03D2">
        <w:rPr>
          <w:sz w:val="28"/>
        </w:rPr>
        <w:t xml:space="preserve">, материалов для рекультивации нарушенных земель, изолирующего материала для полигонов захоронения твёрдых коммунальных и промышленных отходов при осуществлении закупок для государственных или муниципальных нужд, государственными корпорациями, государственными компаниями, публично-правовыми компаниями, государственными и муниципальными унитарными предприятиями и учреждениями, хозяйственными обществами, более 50% акций, </w:t>
      </w:r>
      <w:proofErr w:type="gramStart"/>
      <w:r w:rsidRPr="006A03D2">
        <w:rPr>
          <w:sz w:val="28"/>
        </w:rPr>
        <w:t>долей</w:t>
      </w:r>
      <w:proofErr w:type="gramEnd"/>
      <w:r w:rsidRPr="006A03D2">
        <w:rPr>
          <w:sz w:val="28"/>
        </w:rPr>
        <w:t xml:space="preserve"> в уставных капиталах которых принадлежит Российской Федерации, субъектам Российской Федерации, муниципальным образованиям.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>2.</w:t>
      </w:r>
      <w:r w:rsidRPr="006A03D2">
        <w:rPr>
          <w:sz w:val="28"/>
        </w:rPr>
        <w:tab/>
        <w:t xml:space="preserve">Ускорить принятие проекта федерального закона «О внесении изменений в Федеральный закон «О безопасном обращении с пестицидами и </w:t>
      </w:r>
      <w:proofErr w:type="spellStart"/>
      <w:r w:rsidRPr="006A03D2">
        <w:rPr>
          <w:sz w:val="28"/>
        </w:rPr>
        <w:t>агрохимикатами</w:t>
      </w:r>
      <w:proofErr w:type="spellEnd"/>
      <w:r w:rsidRPr="006A03D2">
        <w:rPr>
          <w:sz w:val="28"/>
        </w:rPr>
        <w:t>» и статью 11 Федерального закона «Об экологической экспертизе», предусматривающего ограничения применения понятия «</w:t>
      </w:r>
      <w:proofErr w:type="spellStart"/>
      <w:r w:rsidRPr="006A03D2">
        <w:rPr>
          <w:sz w:val="28"/>
        </w:rPr>
        <w:t>агрохимикаты</w:t>
      </w:r>
      <w:proofErr w:type="spellEnd"/>
      <w:r w:rsidRPr="006A03D2">
        <w:rPr>
          <w:sz w:val="28"/>
        </w:rPr>
        <w:t>» в отношении продукции из осадков сточных вод и водоподготовки, предназначенной для регулирования плодородия почв и питания растений.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>3.</w:t>
      </w:r>
      <w:r w:rsidRPr="006A03D2">
        <w:rPr>
          <w:sz w:val="28"/>
        </w:rPr>
        <w:tab/>
        <w:t xml:space="preserve">Поручить </w:t>
      </w:r>
      <w:proofErr w:type="spellStart"/>
      <w:r w:rsidRPr="006A03D2">
        <w:rPr>
          <w:sz w:val="28"/>
        </w:rPr>
        <w:t>Роспотребнадзору</w:t>
      </w:r>
      <w:proofErr w:type="spellEnd"/>
      <w:r w:rsidRPr="006A03D2">
        <w:rPr>
          <w:sz w:val="28"/>
        </w:rPr>
        <w:t xml:space="preserve"> по согласованию с Минстроем России, Минэкономразвития России и ФАС России внести в СанПиН 3.2.3215-14 «Профилактика паразитарных болезней на территории Российской </w:t>
      </w:r>
      <w:r w:rsidRPr="006A03D2">
        <w:rPr>
          <w:sz w:val="28"/>
        </w:rPr>
        <w:lastRenderedPageBreak/>
        <w:t>Федерации» изменения, предусматривающие дополнение пункта 16.7.4 «</w:t>
      </w:r>
      <w:proofErr w:type="spellStart"/>
      <w:r w:rsidRPr="006A03D2">
        <w:rPr>
          <w:sz w:val="28"/>
        </w:rPr>
        <w:t>Дезинвазия</w:t>
      </w:r>
      <w:proofErr w:type="spellEnd"/>
      <w:r w:rsidRPr="006A03D2">
        <w:rPr>
          <w:sz w:val="28"/>
        </w:rPr>
        <w:t xml:space="preserve"> осадков сточных вод» положениями следующего содержания: 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 xml:space="preserve">- компостирование механически обезвоженных осадков или осадков, подсушенных в естественных условиях на иловых площадках, с органо-содержащими наполнителями в буртах, в туннелях (коридорах), в </w:t>
      </w:r>
      <w:proofErr w:type="spellStart"/>
      <w:r w:rsidRPr="006A03D2">
        <w:rPr>
          <w:sz w:val="28"/>
        </w:rPr>
        <w:t>биобарабанах</w:t>
      </w:r>
      <w:proofErr w:type="spellEnd"/>
      <w:r w:rsidRPr="006A03D2">
        <w:rPr>
          <w:sz w:val="28"/>
        </w:rPr>
        <w:t>, модулях и иных аппаратах при условии достижения и поддержания во всей компостируемой массе температуры не менее 55</w:t>
      </w:r>
      <w:proofErr w:type="gramStart"/>
      <w:r w:rsidRPr="006A03D2">
        <w:rPr>
          <w:sz w:val="28"/>
        </w:rPr>
        <w:t xml:space="preserve"> °С</w:t>
      </w:r>
      <w:proofErr w:type="gramEnd"/>
      <w:r w:rsidRPr="006A03D2">
        <w:rPr>
          <w:sz w:val="28"/>
        </w:rPr>
        <w:t xml:space="preserve"> в течение не менее 6 суток, при обеспечении инструментального температурного контроля; 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 xml:space="preserve">- выдержка механически-обезвоженных осадков или осадков, ранее подсушенных в естественных условиях на иловых площадках (картах), которая осуществляется на специальных площадках стабилизации и обеззараживания, а также высвобожденных иловых площадках (картах) &lt;*&gt;: 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>•</w:t>
      </w:r>
      <w:r w:rsidRPr="006A03D2">
        <w:rPr>
          <w:sz w:val="28"/>
        </w:rPr>
        <w:tab/>
        <w:t>в условиях I-</w:t>
      </w:r>
      <w:proofErr w:type="spellStart"/>
      <w:r w:rsidRPr="006A03D2">
        <w:rPr>
          <w:sz w:val="28"/>
        </w:rPr>
        <w:t>го</w:t>
      </w:r>
      <w:proofErr w:type="spellEnd"/>
      <w:r w:rsidRPr="006A03D2">
        <w:rPr>
          <w:sz w:val="28"/>
        </w:rPr>
        <w:t xml:space="preserve"> и II-</w:t>
      </w:r>
      <w:proofErr w:type="spellStart"/>
      <w:r w:rsidRPr="006A03D2">
        <w:rPr>
          <w:sz w:val="28"/>
        </w:rPr>
        <w:t>го</w:t>
      </w:r>
      <w:proofErr w:type="spellEnd"/>
      <w:r w:rsidRPr="006A03D2">
        <w:rPr>
          <w:sz w:val="28"/>
        </w:rPr>
        <w:t xml:space="preserve"> климатических районов - не менее 3 лет; 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>•</w:t>
      </w:r>
      <w:r w:rsidRPr="006A03D2">
        <w:rPr>
          <w:sz w:val="28"/>
        </w:rPr>
        <w:tab/>
        <w:t>в условиях III-</w:t>
      </w:r>
      <w:proofErr w:type="spellStart"/>
      <w:r w:rsidRPr="006A03D2">
        <w:rPr>
          <w:sz w:val="28"/>
        </w:rPr>
        <w:t>го</w:t>
      </w:r>
      <w:proofErr w:type="spellEnd"/>
      <w:r w:rsidRPr="006A03D2">
        <w:rPr>
          <w:sz w:val="28"/>
        </w:rPr>
        <w:t xml:space="preserve"> климатического района - не менее 2 лет; 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>•</w:t>
      </w:r>
      <w:r w:rsidRPr="006A03D2">
        <w:rPr>
          <w:sz w:val="28"/>
        </w:rPr>
        <w:tab/>
        <w:t xml:space="preserve">в условиях IV климатического района - не менее 1 года; 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 xml:space="preserve">Иловые площадки и площадки стабилизации и обеззараживания являются технологическими сооружениями для обработки осадков в естественных условиях с целью стабилизации и обеззараживания за счет дополнительного подсушивания в теплое время года, промерзания в зимний период времени, минерализации и трансформации органических веществ, развития естественных процессов самоочищения за счет жизнедеятельности эффективной микрофлоры. </w:t>
      </w:r>
    </w:p>
    <w:p w:rsidR="006A03D2" w:rsidRPr="006A03D2" w:rsidRDefault="006A03D2" w:rsidP="006A03D2">
      <w:pPr>
        <w:pStyle w:val="a9"/>
        <w:ind w:firstLine="284"/>
        <w:jc w:val="both"/>
        <w:rPr>
          <w:sz w:val="28"/>
        </w:rPr>
      </w:pPr>
      <w:proofErr w:type="gramStart"/>
      <w:r w:rsidRPr="006A03D2">
        <w:rPr>
          <w:sz w:val="28"/>
        </w:rPr>
        <w:t>4 разработать национальный стандарт/</w:t>
      </w:r>
      <w:proofErr w:type="spellStart"/>
      <w:r w:rsidRPr="006A03D2">
        <w:rPr>
          <w:sz w:val="28"/>
        </w:rPr>
        <w:t>техническийрегламент</w:t>
      </w:r>
      <w:proofErr w:type="spellEnd"/>
      <w:r w:rsidRPr="006A03D2">
        <w:rPr>
          <w:sz w:val="28"/>
        </w:rPr>
        <w:t xml:space="preserve"> в части переработки осадков, в котором обозначить области применения продукции из осадков с целью продвижения вопроса льготного налогообложения или других механизмов стимулирования для организаций, осуществляющих производство сырья и продукции из осадков, а также определить единые требования к техническим и качественным характеристикам осадка для различных способов применения осадка (допустимое содержание веществ и показателей, норма и периодичность</w:t>
      </w:r>
      <w:proofErr w:type="gramEnd"/>
      <w:r w:rsidRPr="006A03D2">
        <w:rPr>
          <w:sz w:val="28"/>
        </w:rPr>
        <w:t xml:space="preserve"> </w:t>
      </w:r>
      <w:proofErr w:type="gramStart"/>
      <w:r w:rsidRPr="006A03D2">
        <w:rPr>
          <w:sz w:val="28"/>
        </w:rPr>
        <w:t xml:space="preserve">применения, периодичность лабораторного контроля, порядок подтверждения соответствия и т.п.)); </w:t>
      </w:r>
      <w:proofErr w:type="gramEnd"/>
    </w:p>
    <w:p w:rsidR="00CA106A" w:rsidRPr="002F61ED" w:rsidRDefault="006A03D2" w:rsidP="006A03D2">
      <w:pPr>
        <w:pStyle w:val="a9"/>
        <w:ind w:firstLine="284"/>
        <w:jc w:val="both"/>
        <w:rPr>
          <w:sz w:val="28"/>
        </w:rPr>
      </w:pPr>
      <w:r w:rsidRPr="006A03D2">
        <w:rPr>
          <w:sz w:val="28"/>
        </w:rPr>
        <w:t>5. разработать механизмы стимулирования спроса на сырье и продукцию из осадков, в том числе, в части установления органами государственной власти субъектов Российской Федерации и органами местного самоуправления нормативов использования сырья и продукции из осадков в соот</w:t>
      </w:r>
      <w:r>
        <w:rPr>
          <w:sz w:val="28"/>
        </w:rPr>
        <w:t>ветствии с областями применения.</w:t>
      </w:r>
    </w:p>
    <w:p w:rsidR="002F61ED" w:rsidRPr="006461C8" w:rsidRDefault="002F61ED" w:rsidP="00CA106A">
      <w:pPr>
        <w:spacing w:after="0" w:line="240" w:lineRule="auto"/>
        <w:ind w:left="317"/>
        <w:contextualSpacing/>
        <w:jc w:val="both"/>
        <w:rPr>
          <w:sz w:val="28"/>
        </w:rPr>
      </w:pPr>
    </w:p>
    <w:p w:rsidR="00805246" w:rsidRPr="00497CA2" w:rsidRDefault="00805246" w:rsidP="00497CA2">
      <w:pPr>
        <w:pStyle w:val="2"/>
        <w:jc w:val="center"/>
        <w:rPr>
          <w:sz w:val="28"/>
        </w:rPr>
      </w:pPr>
      <w:bookmarkStart w:id="5" w:name="_Toc17380258"/>
      <w:r w:rsidRPr="00497CA2">
        <w:rPr>
          <w:sz w:val="28"/>
        </w:rPr>
        <w:t>1.2 Техническое регулирование</w:t>
      </w:r>
      <w:bookmarkEnd w:id="5"/>
    </w:p>
    <w:p w:rsidR="004D1A3D" w:rsidRPr="006F2C13" w:rsidRDefault="004D1A3D" w:rsidP="006F2C13">
      <w:pPr>
        <w:pStyle w:val="a3"/>
        <w:numPr>
          <w:ilvl w:val="0"/>
          <w:numId w:val="22"/>
        </w:numPr>
        <w:jc w:val="both"/>
        <w:rPr>
          <w:sz w:val="28"/>
        </w:rPr>
      </w:pPr>
      <w:r w:rsidRPr="006F2C13">
        <w:rPr>
          <w:sz w:val="28"/>
        </w:rPr>
        <w:t>В целях инструментального обеспечения расчета «технологически обоснованной» НВВ для операционной деятельности необходимо разработать типовые правила эксплуатации инфраструктуры ВКХ, включающие в себя типовые графики планово-предупредительных ремонтов.</w:t>
      </w:r>
    </w:p>
    <w:p w:rsidR="004D1A3D" w:rsidRPr="00497CA2" w:rsidRDefault="00CE6FA4" w:rsidP="00497CA2">
      <w:pPr>
        <w:pStyle w:val="a3"/>
        <w:numPr>
          <w:ilvl w:val="0"/>
          <w:numId w:val="22"/>
        </w:numPr>
        <w:jc w:val="both"/>
        <w:rPr>
          <w:sz w:val="28"/>
        </w:rPr>
      </w:pPr>
      <w:r w:rsidRPr="006F2C13">
        <w:rPr>
          <w:sz w:val="28"/>
        </w:rPr>
        <w:t>создание и актуализация стандартов в сфере водоснабжения и водоотведения</w:t>
      </w:r>
    </w:p>
    <w:p w:rsidR="00707C20" w:rsidRPr="00497CA2" w:rsidRDefault="00805246" w:rsidP="00497CA2">
      <w:pPr>
        <w:pStyle w:val="2"/>
        <w:jc w:val="center"/>
        <w:rPr>
          <w:sz w:val="28"/>
        </w:rPr>
      </w:pPr>
      <w:bookmarkStart w:id="6" w:name="_Toc17380259"/>
      <w:r w:rsidRPr="00497CA2">
        <w:rPr>
          <w:sz w:val="28"/>
        </w:rPr>
        <w:t xml:space="preserve">1.3 Синхронизация норм отраслевого </w:t>
      </w:r>
      <w:r w:rsidR="001742B2" w:rsidRPr="00497CA2">
        <w:rPr>
          <w:sz w:val="28"/>
        </w:rPr>
        <w:t xml:space="preserve">законодательства с другими отраслями права: </w:t>
      </w:r>
      <w:r w:rsidRPr="00497CA2">
        <w:rPr>
          <w:sz w:val="28"/>
        </w:rPr>
        <w:t>жилищн</w:t>
      </w:r>
      <w:r w:rsidR="001742B2" w:rsidRPr="00497CA2">
        <w:rPr>
          <w:sz w:val="28"/>
        </w:rPr>
        <w:t>ым,</w:t>
      </w:r>
      <w:r w:rsidRPr="00497CA2">
        <w:rPr>
          <w:sz w:val="28"/>
        </w:rPr>
        <w:t xml:space="preserve"> природоохранным</w:t>
      </w:r>
      <w:r w:rsidR="001742B2" w:rsidRPr="00497CA2">
        <w:rPr>
          <w:sz w:val="28"/>
        </w:rPr>
        <w:t>, санитарным</w:t>
      </w:r>
      <w:r w:rsidRPr="00497CA2">
        <w:rPr>
          <w:sz w:val="28"/>
        </w:rPr>
        <w:t xml:space="preserve"> законодательством</w:t>
      </w:r>
      <w:r w:rsidR="001742B2" w:rsidRPr="00497CA2">
        <w:rPr>
          <w:sz w:val="28"/>
        </w:rPr>
        <w:t>.</w:t>
      </w:r>
      <w:bookmarkEnd w:id="6"/>
    </w:p>
    <w:p w:rsidR="00576EE6" w:rsidRPr="00576EE6" w:rsidRDefault="00DA2ADA" w:rsidP="00365C5A">
      <w:pPr>
        <w:ind w:firstLine="567"/>
        <w:jc w:val="both"/>
        <w:rPr>
          <w:sz w:val="28"/>
        </w:rPr>
      </w:pPr>
      <w:r>
        <w:rPr>
          <w:sz w:val="28"/>
        </w:rPr>
        <w:t xml:space="preserve">Дальнейшее развитие ВКХ требует синхронизации требований и регуляторных алгоритмов.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необходимо провести к</w:t>
      </w:r>
      <w:r w:rsidR="00576EE6" w:rsidRPr="00576EE6">
        <w:rPr>
          <w:sz w:val="28"/>
        </w:rPr>
        <w:t xml:space="preserve">омплексный анализ требований законодательства </w:t>
      </w:r>
      <w:r>
        <w:rPr>
          <w:sz w:val="28"/>
        </w:rPr>
        <w:t xml:space="preserve">в отношении организаций отрасли, увязать </w:t>
      </w:r>
      <w:r w:rsidR="00576EE6" w:rsidRPr="00576EE6">
        <w:rPr>
          <w:sz w:val="28"/>
        </w:rPr>
        <w:t>вводимы</w:t>
      </w:r>
      <w:r>
        <w:rPr>
          <w:sz w:val="28"/>
        </w:rPr>
        <w:t>е</w:t>
      </w:r>
      <w:r w:rsidR="00576EE6" w:rsidRPr="00576EE6">
        <w:rPr>
          <w:sz w:val="28"/>
        </w:rPr>
        <w:t xml:space="preserve"> санитарны</w:t>
      </w:r>
      <w:r>
        <w:rPr>
          <w:sz w:val="28"/>
        </w:rPr>
        <w:t>е</w:t>
      </w:r>
      <w:r w:rsidR="00576EE6" w:rsidRPr="00576EE6">
        <w:rPr>
          <w:sz w:val="28"/>
        </w:rPr>
        <w:t>, экологически</w:t>
      </w:r>
      <w:r>
        <w:rPr>
          <w:sz w:val="28"/>
        </w:rPr>
        <w:t>е</w:t>
      </w:r>
      <w:r w:rsidR="00576EE6" w:rsidRPr="00576EE6">
        <w:rPr>
          <w:sz w:val="28"/>
        </w:rPr>
        <w:t xml:space="preserve"> и иных требовани</w:t>
      </w:r>
      <w:r>
        <w:rPr>
          <w:sz w:val="28"/>
        </w:rPr>
        <w:t>я</w:t>
      </w:r>
      <w:r w:rsidR="00576EE6" w:rsidRPr="00576EE6">
        <w:rPr>
          <w:sz w:val="28"/>
        </w:rPr>
        <w:t xml:space="preserve"> с тарифными последствиями для потребителей</w:t>
      </w:r>
      <w:r>
        <w:rPr>
          <w:sz w:val="28"/>
        </w:rPr>
        <w:t>.</w:t>
      </w:r>
    </w:p>
    <w:p w:rsidR="00576EE6" w:rsidRPr="00576EE6" w:rsidRDefault="00576EE6" w:rsidP="00365C5A">
      <w:pPr>
        <w:ind w:firstLine="567"/>
        <w:jc w:val="both"/>
        <w:rPr>
          <w:sz w:val="28"/>
        </w:rPr>
      </w:pPr>
      <w:r w:rsidRPr="00576EE6">
        <w:rPr>
          <w:sz w:val="28"/>
        </w:rPr>
        <w:t xml:space="preserve">Различные федеральные законы и подзаконные акты предъявляют к деятельности водоканалов не всегда согласованные, а иногда и противоречащие друг другу требования. Так, крайне затруднено исполнение требования природоохранного законодательства о необходимости очистки сточных вод до уровня нормативов для водоемов </w:t>
      </w:r>
      <w:proofErr w:type="spellStart"/>
      <w:r w:rsidRPr="00576EE6">
        <w:rPr>
          <w:sz w:val="28"/>
        </w:rPr>
        <w:t>рыбохозяйственного</w:t>
      </w:r>
      <w:proofErr w:type="spellEnd"/>
      <w:r w:rsidRPr="00576EE6">
        <w:rPr>
          <w:sz w:val="28"/>
        </w:rPr>
        <w:t xml:space="preserve"> назначения по всему перечню потенциально нормируемых показателей. Это обусловлено как очень высокой стоимостью необходимых технологий, так и отсутствием закрытого перечня нормируемых показателей, на соблюдение которых должно быть направлено внедрение технологии. Данная проблема частично будет решена при принятии подзаконных актов к федеральному закону от 29.07.2017 № 225-ФЗ «О внесении изменений в Федеральный закон "О водоснабжении и водоотведении" и отдельные законодательные акты Российской Федерации». Однако и при технологическом нормировании сбросов сточных вод реализация мероприятий либо будет вступать в противоречие с требованиями оценки доступности инвестиционной программы при ее утверждении, либо потребует поддержки за счет бюджетных средств.</w:t>
      </w:r>
    </w:p>
    <w:p w:rsidR="00576EE6" w:rsidRPr="00576EE6" w:rsidRDefault="00576EE6" w:rsidP="00365C5A">
      <w:pPr>
        <w:ind w:firstLine="567"/>
        <w:jc w:val="both"/>
        <w:rPr>
          <w:sz w:val="28"/>
        </w:rPr>
      </w:pPr>
      <w:r w:rsidRPr="00576EE6">
        <w:rPr>
          <w:sz w:val="28"/>
        </w:rPr>
        <w:lastRenderedPageBreak/>
        <w:t xml:space="preserve">Также следует отметить, что на момент разработки стратегии новые природоохранные и санитарные требования вводятся без оценки тарифных последствий уполномоченным федеральным органом исполнительной власти, а вводимые тарифные ограничения не оцениваются с точки зрения возможности исполнения уже существующих требований со стороны Минприроды, </w:t>
      </w:r>
      <w:proofErr w:type="spellStart"/>
      <w:r w:rsidRPr="00576EE6">
        <w:rPr>
          <w:sz w:val="28"/>
        </w:rPr>
        <w:t>Роспотребнадзора</w:t>
      </w:r>
      <w:proofErr w:type="spellEnd"/>
      <w:r w:rsidRPr="00576EE6">
        <w:rPr>
          <w:sz w:val="28"/>
        </w:rPr>
        <w:t>.</w:t>
      </w:r>
    </w:p>
    <w:p w:rsidR="00576EE6" w:rsidRPr="00576EE6" w:rsidRDefault="00576EE6" w:rsidP="00365C5A">
      <w:pPr>
        <w:ind w:firstLine="567"/>
        <w:jc w:val="both"/>
        <w:rPr>
          <w:sz w:val="28"/>
        </w:rPr>
      </w:pPr>
      <w:proofErr w:type="gramStart"/>
      <w:r w:rsidRPr="00576EE6">
        <w:rPr>
          <w:sz w:val="28"/>
        </w:rPr>
        <w:t xml:space="preserve">Для увязки нормативных требований к работе </w:t>
      </w:r>
      <w:proofErr w:type="spellStart"/>
      <w:r w:rsidRPr="00576EE6">
        <w:rPr>
          <w:sz w:val="28"/>
        </w:rPr>
        <w:t>ресурсоснабжающих</w:t>
      </w:r>
      <w:proofErr w:type="spellEnd"/>
      <w:r w:rsidRPr="00576EE6">
        <w:rPr>
          <w:sz w:val="28"/>
        </w:rPr>
        <w:t xml:space="preserve"> организаций в единую систему целесообразно как провести ревизию существующих требований, так и предусмотреть процедуру оценки тарифных последствий по всем проектам НПА, вводящим новые требования к деятельности </w:t>
      </w:r>
      <w:proofErr w:type="spellStart"/>
      <w:r w:rsidRPr="00576EE6">
        <w:rPr>
          <w:sz w:val="28"/>
        </w:rPr>
        <w:t>ресурсоснабжающих</w:t>
      </w:r>
      <w:proofErr w:type="spellEnd"/>
      <w:r w:rsidRPr="00576EE6">
        <w:rPr>
          <w:sz w:val="28"/>
        </w:rPr>
        <w:t xml:space="preserve"> организаций, а также - при введении тарифных ограничений - процедуру экспертной оценки возможности исполнения установленных требований (исполнения мероприятий, предусмотренных комплексными экологическими разрешениями, планами мероприятий по приведению качества питьевой</w:t>
      </w:r>
      <w:proofErr w:type="gramEnd"/>
      <w:r w:rsidRPr="00576EE6">
        <w:rPr>
          <w:sz w:val="28"/>
        </w:rPr>
        <w:t xml:space="preserve"> воды в соответствие с установленными требованиями).</w:t>
      </w:r>
    </w:p>
    <w:p w:rsidR="00576EE6" w:rsidRPr="00576EE6" w:rsidRDefault="00576EE6" w:rsidP="00365C5A">
      <w:pPr>
        <w:ind w:firstLine="567"/>
        <w:jc w:val="both"/>
        <w:rPr>
          <w:sz w:val="28"/>
        </w:rPr>
      </w:pPr>
      <w:r w:rsidRPr="00576EE6">
        <w:rPr>
          <w:sz w:val="28"/>
        </w:rPr>
        <w:t>Наиболее системно проработаны нормативные акты, относящиеся к техническому и санитарному регулированию отрасли водоснабжения и водоотведения. При этом некоторые из таких актов не носят обязательного характера, а некоторые требуют актуализации, так как были разработаны несколько десятилетий назад и не учитывают современного развития технологий. В связи с этим в сфере технического регулирования водопроводно-канализационного хозяйства первоочередного внимания требуют следующие вопросы.</w:t>
      </w:r>
    </w:p>
    <w:p w:rsidR="00576EE6" w:rsidRPr="00576EE6" w:rsidRDefault="00576EE6" w:rsidP="00365C5A">
      <w:pPr>
        <w:ind w:firstLine="567"/>
        <w:jc w:val="both"/>
        <w:rPr>
          <w:sz w:val="28"/>
        </w:rPr>
      </w:pPr>
      <w:r w:rsidRPr="00576EE6">
        <w:rPr>
          <w:sz w:val="28"/>
        </w:rPr>
        <w:t xml:space="preserve">1) Правила технической эксплуатации систем и сооружений коммунального водоснабжения и канализации, утвержденные приказом Госстроя России от 30.12.1999 № 168. Данный нормативный акт не был зарегистрирован Минюстом России, поэтому фактически учитывается при эксплуатации сооружений, но рассматривается как необязательный для применения. Требуется его актуализация с учетом современных технологий и методов производства работ, а также утверждение в установленном порядке. </w:t>
      </w:r>
    </w:p>
    <w:p w:rsidR="00576EE6" w:rsidRPr="00576EE6" w:rsidRDefault="00576EE6" w:rsidP="00365C5A">
      <w:pPr>
        <w:ind w:firstLine="567"/>
        <w:jc w:val="both"/>
        <w:rPr>
          <w:sz w:val="28"/>
        </w:rPr>
      </w:pPr>
      <w:r w:rsidRPr="00576EE6">
        <w:rPr>
          <w:sz w:val="28"/>
        </w:rPr>
        <w:t xml:space="preserve">2) Ряд ГОСТов, имеющих отношение к водопроводно-канализационному хозяйству, не учитывают современных требований и уровня развития технологий. Так, например, требуется актуализация ГОСТов, </w:t>
      </w:r>
      <w:r w:rsidRPr="00576EE6">
        <w:rPr>
          <w:sz w:val="28"/>
        </w:rPr>
        <w:lastRenderedPageBreak/>
        <w:t>устанавливающих требования к реагентам для очистки питьевой воды. Детализация имеющихся требований и учет современных, более чистых технологий, позволят обеспечить добросовестность конкуренции при закупках реагентов и безопасность питьевой воды. АО "Мосводоканал" готово принимать участие в данной работе с учетом имеющегося практического опыта.</w:t>
      </w:r>
    </w:p>
    <w:p w:rsidR="00576EE6" w:rsidRPr="00576EE6" w:rsidRDefault="00576EE6" w:rsidP="00365C5A">
      <w:pPr>
        <w:ind w:firstLine="567"/>
        <w:jc w:val="both"/>
        <w:rPr>
          <w:sz w:val="28"/>
        </w:rPr>
      </w:pPr>
      <w:r w:rsidRPr="00576EE6">
        <w:rPr>
          <w:sz w:val="28"/>
        </w:rPr>
        <w:t xml:space="preserve">3) Эксплуатация сетей водоотведения в составе общего имущества в многоквартирных домах. Строительными нормами и правилами, федеральным законом от 07.12.2011 № 416-ФЗ определено, что канализационные выпуски из зданий не являются частью централизованной системы водоотведения. </w:t>
      </w:r>
      <w:proofErr w:type="gramStart"/>
      <w:r w:rsidRPr="00576EE6">
        <w:rPr>
          <w:sz w:val="28"/>
        </w:rPr>
        <w:t>В то же время при принятии Правил содержания общедомового имущества в многоквартирном доме, утвержденных постановлением Правительства Российской Федерации от 13.08.2006 г. № 491, было установлено, что 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дома.</w:t>
      </w:r>
      <w:proofErr w:type="gramEnd"/>
      <w:r w:rsidRPr="00576EE6">
        <w:rPr>
          <w:sz w:val="28"/>
        </w:rPr>
        <w:t xml:space="preserve"> Фактически это приводит к необходимости эксплуатации канализационных выпусков силами водоканалов и внутри многоквартирных домов, так как выпуск является технологически неделимым объектом (единый участок трубопровода между подвалом здания и колодцем). Требуется в Правилах № 491 учесть технологические особенности сетей водоотведения, по аналогии с тем, как учтены особенности сетей газоснабжения.</w:t>
      </w:r>
    </w:p>
    <w:p w:rsidR="003E4128" w:rsidRPr="003E4128" w:rsidRDefault="00DA2ADA" w:rsidP="00365C5A">
      <w:pPr>
        <w:ind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3E4128" w:rsidRPr="003E4128">
        <w:rPr>
          <w:sz w:val="28"/>
        </w:rPr>
        <w:t xml:space="preserve">Отсутствие в действующем санитарно-эпидемиологическом законодательстве конкретного лица или органа, обязанностью которого является получение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(статья 18 Федерального закона от 30.03.1999 № 52-ФЗ «О санитарно-эпидемиологическом благополучии населения»), в </w:t>
      </w:r>
      <w:proofErr w:type="gramStart"/>
      <w:r w:rsidR="003E4128" w:rsidRPr="003E4128">
        <w:rPr>
          <w:sz w:val="28"/>
        </w:rPr>
        <w:t>связи</w:t>
      </w:r>
      <w:proofErr w:type="gramEnd"/>
      <w:r w:rsidR="003E4128" w:rsidRPr="003E4128">
        <w:rPr>
          <w:sz w:val="28"/>
        </w:rPr>
        <w:t xml:space="preserve"> с чем такое заключение обязывают получать организации ВКХ (в том числе в судебном п</w:t>
      </w:r>
      <w:r>
        <w:rPr>
          <w:sz w:val="28"/>
        </w:rPr>
        <w:t xml:space="preserve">орядке) </w:t>
      </w:r>
      <w:r w:rsidR="003E4128" w:rsidRPr="003E4128">
        <w:rPr>
          <w:sz w:val="28"/>
        </w:rPr>
        <w:t>Организации ВКХ вынуждены использовать для водоснабжения населения водные объекты, не разрешенные для использования в качестве источников питьевого водоснабжения.</w:t>
      </w:r>
    </w:p>
    <w:p w:rsidR="00E43052" w:rsidRPr="00C71F5B" w:rsidRDefault="00C71F5B" w:rsidP="00365C5A">
      <w:pPr>
        <w:ind w:firstLine="567"/>
        <w:jc w:val="both"/>
        <w:rPr>
          <w:sz w:val="28"/>
        </w:rPr>
      </w:pPr>
      <w:r w:rsidRPr="00C71F5B">
        <w:rPr>
          <w:sz w:val="28"/>
        </w:rPr>
        <w:lastRenderedPageBreak/>
        <w:t xml:space="preserve">В части синхронизации с </w:t>
      </w:r>
      <w:r w:rsidR="00E43052" w:rsidRPr="00C71F5B">
        <w:rPr>
          <w:sz w:val="28"/>
        </w:rPr>
        <w:t xml:space="preserve"> жилищн</w:t>
      </w:r>
      <w:r w:rsidRPr="00C71F5B">
        <w:rPr>
          <w:sz w:val="28"/>
        </w:rPr>
        <w:t>ым</w:t>
      </w:r>
      <w:r w:rsidR="00E43052" w:rsidRPr="00C71F5B">
        <w:rPr>
          <w:sz w:val="28"/>
        </w:rPr>
        <w:t xml:space="preserve"> законодательств</w:t>
      </w:r>
      <w:r w:rsidRPr="00C71F5B">
        <w:rPr>
          <w:sz w:val="28"/>
        </w:rPr>
        <w:t>ом</w:t>
      </w:r>
      <w:r>
        <w:rPr>
          <w:sz w:val="28"/>
        </w:rPr>
        <w:t>:</w:t>
      </w:r>
    </w:p>
    <w:p w:rsidR="00E43052" w:rsidRPr="00C71F5B" w:rsidRDefault="00E43052" w:rsidP="00365C5A">
      <w:pPr>
        <w:ind w:firstLine="567"/>
        <w:jc w:val="both"/>
        <w:rPr>
          <w:sz w:val="28"/>
        </w:rPr>
      </w:pPr>
      <w:r w:rsidRPr="00C71F5B">
        <w:rPr>
          <w:sz w:val="28"/>
        </w:rPr>
        <w:t xml:space="preserve">1) Снятие ограничения размера платы собственников помещений в МКД за коммунальные ресурсы на цели содержания общего имущества нормативом. Расчет платы за коммунальные </w:t>
      </w:r>
      <w:proofErr w:type="gramStart"/>
      <w:r w:rsidRPr="00C71F5B">
        <w:rPr>
          <w:sz w:val="28"/>
        </w:rPr>
        <w:t>ресурсы</w:t>
      </w:r>
      <w:proofErr w:type="gramEnd"/>
      <w:r w:rsidRPr="00C71F5B">
        <w:rPr>
          <w:sz w:val="28"/>
        </w:rPr>
        <w:t xml:space="preserve"> на цели содержания общего имущества исходя из среднемесячного фактического потребления таких ресурсов за истекший календарный год с корректировкой по фактическому потреблению. </w:t>
      </w:r>
    </w:p>
    <w:p w:rsidR="00E43052" w:rsidRPr="00C71F5B" w:rsidRDefault="00C71F5B" w:rsidP="00365C5A">
      <w:pPr>
        <w:ind w:firstLine="567"/>
        <w:jc w:val="both"/>
        <w:rPr>
          <w:sz w:val="28"/>
        </w:rPr>
      </w:pPr>
      <w:r w:rsidRPr="00C71F5B">
        <w:rPr>
          <w:sz w:val="28"/>
        </w:rPr>
        <w:t>2</w:t>
      </w:r>
      <w:r w:rsidR="00E43052" w:rsidRPr="00C71F5B">
        <w:rPr>
          <w:sz w:val="28"/>
        </w:rPr>
        <w:t>) Исключение предусмотренного Правилами холодного водоснабжения и водоотведения, утвержденными постановлением Правительства РФ от 29.07.2013 № 644, запрета на ограничение холодного водоснабжения в отношении социально значимых категорий потребителей, ввести в отношении таких потребителей специальный порядок введения ограничения холодного водоснабжения (по аналогии с теплоснабжением).</w:t>
      </w:r>
    </w:p>
    <w:p w:rsidR="00E43052" w:rsidRDefault="00C71F5B" w:rsidP="00365C5A">
      <w:pPr>
        <w:ind w:firstLine="567"/>
        <w:jc w:val="both"/>
        <w:rPr>
          <w:sz w:val="28"/>
        </w:rPr>
      </w:pPr>
      <w:r w:rsidRPr="00C71F5B">
        <w:rPr>
          <w:sz w:val="28"/>
        </w:rPr>
        <w:t>3</w:t>
      </w:r>
      <w:r w:rsidR="00E43052" w:rsidRPr="00C71F5B">
        <w:rPr>
          <w:sz w:val="28"/>
        </w:rPr>
        <w:t>) Внесение в ГПК РФ изменений в части учета особенностей жилищного законодательства при подаче исковых заявлений или заявлений о выдаче судебного приказа (отсутствие у исполнителей коммунальных услуг персональных данных потребителей).</w:t>
      </w:r>
    </w:p>
    <w:p w:rsidR="00C71F5B" w:rsidRPr="00C71F5B" w:rsidRDefault="00C71F5B" w:rsidP="00C71F5B">
      <w:pPr>
        <w:jc w:val="both"/>
        <w:rPr>
          <w:sz w:val="28"/>
        </w:rPr>
      </w:pPr>
    </w:p>
    <w:p w:rsidR="00805246" w:rsidRPr="001338D0" w:rsidRDefault="00805246" w:rsidP="001338D0">
      <w:pPr>
        <w:pStyle w:val="2"/>
        <w:jc w:val="center"/>
        <w:rPr>
          <w:sz w:val="28"/>
        </w:rPr>
      </w:pPr>
      <w:bookmarkStart w:id="7" w:name="_Toc17380260"/>
      <w:r w:rsidRPr="001338D0">
        <w:rPr>
          <w:sz w:val="28"/>
        </w:rPr>
        <w:t xml:space="preserve">2. </w:t>
      </w:r>
      <w:r w:rsidR="00F73F8C">
        <w:rPr>
          <w:sz w:val="28"/>
        </w:rPr>
        <w:t>Финансово-инвестиционное о</w:t>
      </w:r>
      <w:r w:rsidRPr="001338D0">
        <w:rPr>
          <w:sz w:val="28"/>
        </w:rPr>
        <w:t>беспечение задач Стратегии ВКХ</w:t>
      </w:r>
      <w:bookmarkEnd w:id="7"/>
    </w:p>
    <w:p w:rsidR="00F73F8C" w:rsidRDefault="00F73F8C" w:rsidP="00805246">
      <w:pPr>
        <w:jc w:val="both"/>
        <w:rPr>
          <w:b/>
          <w:sz w:val="28"/>
        </w:rPr>
      </w:pPr>
    </w:p>
    <w:p w:rsidR="00805246" w:rsidRPr="00C16F28" w:rsidRDefault="00805246" w:rsidP="00C16F28">
      <w:pPr>
        <w:pStyle w:val="2"/>
        <w:jc w:val="center"/>
        <w:rPr>
          <w:sz w:val="28"/>
        </w:rPr>
      </w:pPr>
      <w:bookmarkStart w:id="8" w:name="_Toc17380261"/>
      <w:r w:rsidRPr="00C16F28">
        <w:rPr>
          <w:sz w:val="28"/>
        </w:rPr>
        <w:t>2.1 Совершенствование тарифной политики (включая обеспечение доступности тарифов для населения и предоставления льгот и субсидий потребителям), направленное на обеспечение выполнения задач Стратегии</w:t>
      </w:r>
      <w:bookmarkEnd w:id="8"/>
    </w:p>
    <w:p w:rsidR="00EE2F27" w:rsidRPr="00C16F28" w:rsidRDefault="00EE2F27" w:rsidP="00C16F28">
      <w:pPr>
        <w:jc w:val="both"/>
        <w:rPr>
          <w:sz w:val="28"/>
        </w:rPr>
      </w:pPr>
      <w:r w:rsidRPr="00C16F28">
        <w:rPr>
          <w:b/>
          <w:sz w:val="28"/>
        </w:rPr>
        <w:t>В краткосрочном периоде</w:t>
      </w:r>
      <w:r w:rsidRPr="00C16F28">
        <w:rPr>
          <w:sz w:val="28"/>
        </w:rPr>
        <w:t xml:space="preserve"> - Расширение обоснований для превышения предельного индекса, включая мероприятия НП «Экология»</w:t>
      </w:r>
    </w:p>
    <w:p w:rsidR="00C16F28" w:rsidRPr="00C16F28" w:rsidRDefault="00EE2F27" w:rsidP="00C16F28">
      <w:pPr>
        <w:jc w:val="both"/>
        <w:rPr>
          <w:b/>
          <w:sz w:val="28"/>
        </w:rPr>
      </w:pPr>
      <w:r w:rsidRPr="00C16F28">
        <w:rPr>
          <w:b/>
          <w:sz w:val="28"/>
        </w:rPr>
        <w:t>В среднесрочном периоде</w:t>
      </w:r>
      <w:r w:rsidR="00C16F28" w:rsidRPr="00C16F28">
        <w:rPr>
          <w:b/>
          <w:sz w:val="28"/>
        </w:rPr>
        <w:t>:</w:t>
      </w:r>
    </w:p>
    <w:p w:rsidR="00BA6332" w:rsidRPr="00C16F28" w:rsidRDefault="00C16F28" w:rsidP="00C16F28">
      <w:pPr>
        <w:jc w:val="both"/>
        <w:rPr>
          <w:sz w:val="28"/>
        </w:rPr>
      </w:pPr>
      <w:r w:rsidRPr="00C16F28">
        <w:rPr>
          <w:sz w:val="28"/>
        </w:rPr>
        <w:t xml:space="preserve">1. </w:t>
      </w:r>
      <w:r w:rsidR="00BA6332" w:rsidRPr="00C16F28">
        <w:rPr>
          <w:sz w:val="28"/>
        </w:rPr>
        <w:t xml:space="preserve">Разделение тарифа на операционную и инвестиционную части. </w:t>
      </w:r>
    </w:p>
    <w:p w:rsidR="00223182" w:rsidRPr="006565E9" w:rsidRDefault="00EE2F27" w:rsidP="006565E9">
      <w:pPr>
        <w:pStyle w:val="a3"/>
        <w:numPr>
          <w:ilvl w:val="0"/>
          <w:numId w:val="11"/>
        </w:numPr>
        <w:ind w:left="1560"/>
        <w:jc w:val="both"/>
        <w:rPr>
          <w:sz w:val="28"/>
        </w:rPr>
      </w:pPr>
      <w:r w:rsidRPr="006565E9">
        <w:rPr>
          <w:sz w:val="28"/>
        </w:rPr>
        <w:t xml:space="preserve">«Технологически </w:t>
      </w:r>
      <w:proofErr w:type="gramStart"/>
      <w:r w:rsidRPr="006565E9">
        <w:rPr>
          <w:sz w:val="28"/>
        </w:rPr>
        <w:t>обоснованная</w:t>
      </w:r>
      <w:proofErr w:type="gramEnd"/>
      <w:r w:rsidRPr="006565E9">
        <w:rPr>
          <w:sz w:val="28"/>
        </w:rPr>
        <w:t xml:space="preserve">» НВВ для </w:t>
      </w:r>
      <w:r w:rsidR="00BA6332" w:rsidRPr="006565E9">
        <w:rPr>
          <w:sz w:val="28"/>
        </w:rPr>
        <w:t xml:space="preserve">операционной деятельности. Инвестиционная часть регулируется отдельно в виде инвестиционной надбавки. </w:t>
      </w:r>
      <w:proofErr w:type="gramStart"/>
      <w:r w:rsidR="00223182" w:rsidRPr="006565E9">
        <w:rPr>
          <w:sz w:val="28"/>
        </w:rPr>
        <w:t xml:space="preserve">(Разработка единых подробно регламентированных процедур определения финансовых </w:t>
      </w:r>
      <w:r w:rsidR="00223182" w:rsidRPr="006565E9">
        <w:rPr>
          <w:sz w:val="28"/>
        </w:rPr>
        <w:lastRenderedPageBreak/>
        <w:t>потребностей организаций регионами.</w:t>
      </w:r>
      <w:proofErr w:type="gramEnd"/>
      <w:r w:rsidR="00223182" w:rsidRPr="006565E9">
        <w:rPr>
          <w:sz w:val="28"/>
        </w:rPr>
        <w:t xml:space="preserve"> </w:t>
      </w:r>
      <w:proofErr w:type="gramStart"/>
      <w:r w:rsidR="00223182" w:rsidRPr="006565E9">
        <w:rPr>
          <w:sz w:val="28"/>
        </w:rPr>
        <w:t>Формирование дорожной карты для координации региональной политики в сфере ВКХ)</w:t>
      </w:r>
      <w:proofErr w:type="gramEnd"/>
    </w:p>
    <w:p w:rsidR="00EE2F27" w:rsidRPr="006565E9" w:rsidRDefault="00EE2F27" w:rsidP="006565E9">
      <w:pPr>
        <w:pStyle w:val="a3"/>
        <w:numPr>
          <w:ilvl w:val="0"/>
          <w:numId w:val="11"/>
        </w:numPr>
        <w:ind w:left="1560"/>
        <w:jc w:val="both"/>
        <w:rPr>
          <w:sz w:val="28"/>
        </w:rPr>
      </w:pPr>
      <w:r w:rsidRPr="006565E9">
        <w:rPr>
          <w:sz w:val="28"/>
        </w:rPr>
        <w:t>Обоснование инвестиционных мероприятий через концепцию стоимости жизненного цикла</w:t>
      </w:r>
      <w:r w:rsidR="00223182" w:rsidRPr="006565E9">
        <w:rPr>
          <w:sz w:val="28"/>
        </w:rPr>
        <w:t>, опора на справочник перспективных технологий</w:t>
      </w:r>
      <w:r w:rsidR="00907667" w:rsidRPr="006565E9">
        <w:rPr>
          <w:sz w:val="28"/>
        </w:rPr>
        <w:t xml:space="preserve"> и справочник НДТ</w:t>
      </w:r>
    </w:p>
    <w:p w:rsidR="0094478C" w:rsidRPr="00C16F28" w:rsidRDefault="00C16F28" w:rsidP="00C16F28">
      <w:pPr>
        <w:ind w:firstLine="567"/>
        <w:jc w:val="both"/>
        <w:rPr>
          <w:sz w:val="28"/>
        </w:rPr>
      </w:pPr>
      <w:r w:rsidRPr="00C16F28">
        <w:rPr>
          <w:sz w:val="28"/>
        </w:rPr>
        <w:t xml:space="preserve">2. </w:t>
      </w:r>
      <w:r w:rsidR="00EE2F27" w:rsidRPr="00C16F28">
        <w:rPr>
          <w:sz w:val="28"/>
        </w:rPr>
        <w:t>Постепенны</w:t>
      </w:r>
      <w:r w:rsidR="00BE3A0E" w:rsidRPr="00C16F28">
        <w:rPr>
          <w:sz w:val="28"/>
        </w:rPr>
        <w:t>й</w:t>
      </w:r>
      <w:r w:rsidR="00EE2F27" w:rsidRPr="00C16F28">
        <w:rPr>
          <w:sz w:val="28"/>
        </w:rPr>
        <w:t xml:space="preserve"> переход на эталоны в смысле бенч-</w:t>
      </w:r>
      <w:proofErr w:type="spellStart"/>
      <w:r w:rsidR="00EE2F27" w:rsidRPr="00C16F28">
        <w:rPr>
          <w:sz w:val="28"/>
        </w:rPr>
        <w:t>маркинга</w:t>
      </w:r>
      <w:proofErr w:type="spellEnd"/>
      <w:r w:rsidR="0094478C" w:rsidRPr="00C16F28">
        <w:rPr>
          <w:sz w:val="28"/>
        </w:rPr>
        <w:t xml:space="preserve">. Либерализация тарифной политики на основе принципов </w:t>
      </w:r>
      <w:proofErr w:type="spellStart"/>
      <w:r w:rsidR="0094478C" w:rsidRPr="00C16F28">
        <w:rPr>
          <w:sz w:val="28"/>
        </w:rPr>
        <w:t>бенчмаркинга</w:t>
      </w:r>
      <w:proofErr w:type="spellEnd"/>
      <w:r w:rsidR="0094478C" w:rsidRPr="00C16F28">
        <w:rPr>
          <w:sz w:val="28"/>
        </w:rPr>
        <w:t>, исходя из стимулирования достижения целевых показателей, соответствующих этапам реализации согласованных сценариев развития отрасли (Мосводоканал). Пересмотр принципов тарифного регулирования. Пересмотр целевых показателей деятельности организаций ВКХ: создание системы показателей качества и стоимости затрат жизненного цикла. Поэтапное введение стимулирующего развитие тарифного регулирования на основе наработанных баз данных по технологическим решениям с оценкой стоимости их жизненного цикла.</w:t>
      </w:r>
    </w:p>
    <w:p w:rsidR="00B22346" w:rsidRPr="0094478C" w:rsidRDefault="00C16F28" w:rsidP="00C16F28">
      <w:pPr>
        <w:ind w:firstLine="567"/>
        <w:jc w:val="both"/>
        <w:rPr>
          <w:sz w:val="28"/>
        </w:rPr>
      </w:pPr>
      <w:r w:rsidRPr="00C16F28">
        <w:rPr>
          <w:sz w:val="28"/>
        </w:rPr>
        <w:t xml:space="preserve">3. </w:t>
      </w:r>
      <w:r w:rsidR="00B22346" w:rsidRPr="00B22346">
        <w:rPr>
          <w:sz w:val="28"/>
        </w:rPr>
        <w:t xml:space="preserve">Трансформация традиционной сферы ВКХ в </w:t>
      </w:r>
      <w:proofErr w:type="spellStart"/>
      <w:r w:rsidR="00B22346" w:rsidRPr="00B22346">
        <w:rPr>
          <w:sz w:val="28"/>
        </w:rPr>
        <w:t>киберфизическую</w:t>
      </w:r>
      <w:proofErr w:type="spellEnd"/>
      <w:r w:rsidR="00B22346" w:rsidRPr="00B22346">
        <w:rPr>
          <w:sz w:val="28"/>
        </w:rPr>
        <w:t xml:space="preserve"> систему, объединяющую в себе интеллектуальные сети водопользователей (сельское хозяйство, промышленность и коммунальные потребители), поставщиков воды и их ведущих </w:t>
      </w:r>
      <w:proofErr w:type="gramStart"/>
      <w:r w:rsidR="00B22346" w:rsidRPr="00B22346">
        <w:rPr>
          <w:sz w:val="28"/>
        </w:rPr>
        <w:t>бизнес-партнеров</w:t>
      </w:r>
      <w:proofErr w:type="gramEnd"/>
      <w:r w:rsidR="00B22346" w:rsidRPr="00B22346">
        <w:rPr>
          <w:sz w:val="28"/>
        </w:rPr>
        <w:t xml:space="preserve"> в единой устойчивой системе, обеспечивающей целостный процесс создания добавленной стоимости при интеграции с контролем состояния окружающей среды. Обеспечение высокой степени прозрачности для водопользователей</w:t>
      </w:r>
      <w:r w:rsidR="00B22346">
        <w:rPr>
          <w:sz w:val="28"/>
        </w:rPr>
        <w:t xml:space="preserve"> с</w:t>
      </w:r>
      <w:r w:rsidR="00B22346" w:rsidRPr="00B22346">
        <w:rPr>
          <w:sz w:val="28"/>
        </w:rPr>
        <w:t xml:space="preserve"> учетом опыта интегрированного управления природными ресурсами</w:t>
      </w:r>
    </w:p>
    <w:p w:rsidR="00805246" w:rsidRPr="00C16F28" w:rsidRDefault="00805246" w:rsidP="00C16F28">
      <w:pPr>
        <w:pStyle w:val="2"/>
        <w:jc w:val="center"/>
        <w:rPr>
          <w:sz w:val="28"/>
        </w:rPr>
      </w:pPr>
      <w:bookmarkStart w:id="9" w:name="_Toc17380262"/>
      <w:r w:rsidRPr="00C16F28">
        <w:rPr>
          <w:sz w:val="28"/>
        </w:rPr>
        <w:t>2.2 Обеспечение механизмов привлечения заемных средств с учетом отраслевой специфики.</w:t>
      </w:r>
      <w:bookmarkEnd w:id="9"/>
    </w:p>
    <w:p w:rsidR="007E675A" w:rsidRPr="007E675A" w:rsidRDefault="007E675A" w:rsidP="00C16F28">
      <w:pPr>
        <w:ind w:firstLine="567"/>
        <w:jc w:val="both"/>
        <w:rPr>
          <w:sz w:val="28"/>
        </w:rPr>
      </w:pPr>
      <w:r w:rsidRPr="007E675A">
        <w:rPr>
          <w:sz w:val="28"/>
        </w:rPr>
        <w:t>Общая проблема для капиталоемких проектов с длительным сроком окупаемости – отсутствие длинных и сравнительно дешевых заемных средс</w:t>
      </w:r>
      <w:r>
        <w:rPr>
          <w:sz w:val="28"/>
        </w:rPr>
        <w:t xml:space="preserve">тв. Многие отраслевые эксперты </w:t>
      </w:r>
      <w:r w:rsidRPr="007E675A">
        <w:rPr>
          <w:sz w:val="28"/>
        </w:rPr>
        <w:t xml:space="preserve">предлагают создать  специализированный финансовый институт, способный проводить квалифицированный отбор, подготовку к финансированию проектов и их финансирование на льготных условиях. </w:t>
      </w:r>
    </w:p>
    <w:p w:rsidR="007E675A" w:rsidRPr="007E675A" w:rsidRDefault="007E675A" w:rsidP="00C16F28">
      <w:pPr>
        <w:ind w:firstLine="567"/>
        <w:jc w:val="both"/>
        <w:rPr>
          <w:sz w:val="28"/>
        </w:rPr>
      </w:pPr>
      <w:r w:rsidRPr="007E675A">
        <w:rPr>
          <w:sz w:val="28"/>
        </w:rPr>
        <w:t xml:space="preserve">Второй </w:t>
      </w:r>
      <w:r>
        <w:rPr>
          <w:sz w:val="28"/>
        </w:rPr>
        <w:t>задачей поддержки</w:t>
      </w:r>
      <w:r w:rsidRPr="007E675A">
        <w:rPr>
          <w:sz w:val="28"/>
        </w:rPr>
        <w:t xml:space="preserve"> капиталоемких инфраструктурных проектов местного или регионального значения является </w:t>
      </w:r>
      <w:r>
        <w:rPr>
          <w:sz w:val="28"/>
        </w:rPr>
        <w:t>выработка</w:t>
      </w:r>
      <w:r w:rsidRPr="007E675A">
        <w:rPr>
          <w:sz w:val="28"/>
        </w:rPr>
        <w:t xml:space="preserve"> подходов к </w:t>
      </w:r>
      <w:r w:rsidRPr="007E675A">
        <w:rPr>
          <w:sz w:val="28"/>
        </w:rPr>
        <w:lastRenderedPageBreak/>
        <w:t>минимизации инвестиционных рисков, в том числе отраслевых (тарифных, изменения нормативного регулирования, политических).</w:t>
      </w:r>
    </w:p>
    <w:p w:rsidR="00805246" w:rsidRDefault="007E675A" w:rsidP="00C16F28">
      <w:pPr>
        <w:ind w:firstLine="567"/>
        <w:jc w:val="both"/>
        <w:rPr>
          <w:sz w:val="28"/>
        </w:rPr>
      </w:pPr>
      <w:r w:rsidRPr="007E675A">
        <w:rPr>
          <w:sz w:val="28"/>
        </w:rPr>
        <w:t xml:space="preserve">Таким образом, представляется целесообразным создать государственный институт развития, обладающий компетенциями в области решения задач национального проекта «Экология» и полномочиями по проведению государственной политики по снижению инвестиционных рисков за счет предоставления гарантий, разработки </w:t>
      </w:r>
      <w:proofErr w:type="spellStart"/>
      <w:r w:rsidRPr="007E675A">
        <w:rPr>
          <w:sz w:val="28"/>
        </w:rPr>
        <w:t>специализированых</w:t>
      </w:r>
      <w:proofErr w:type="spellEnd"/>
      <w:r w:rsidRPr="007E675A">
        <w:rPr>
          <w:sz w:val="28"/>
        </w:rPr>
        <w:t xml:space="preserve"> финансовых инструментов и т.д.</w:t>
      </w:r>
    </w:p>
    <w:p w:rsidR="00945111" w:rsidRDefault="00945111" w:rsidP="00C16F28">
      <w:pPr>
        <w:ind w:firstLine="567"/>
        <w:jc w:val="both"/>
        <w:rPr>
          <w:sz w:val="28"/>
        </w:rPr>
      </w:pPr>
      <w:r w:rsidRPr="00945111">
        <w:rPr>
          <w:sz w:val="28"/>
        </w:rPr>
        <w:t>В настоящий момент система бюджетных субсидий является основной формой поддержки мероприятий ФП «Чистая вода»</w:t>
      </w:r>
      <w:r>
        <w:rPr>
          <w:sz w:val="28"/>
        </w:rPr>
        <w:t>.</w:t>
      </w:r>
    </w:p>
    <w:p w:rsidR="00945111" w:rsidRPr="00945111" w:rsidRDefault="00945111" w:rsidP="00C16F28">
      <w:pPr>
        <w:ind w:firstLine="567"/>
        <w:jc w:val="both"/>
        <w:rPr>
          <w:sz w:val="28"/>
        </w:rPr>
      </w:pPr>
      <w:r w:rsidRPr="00945111">
        <w:rPr>
          <w:sz w:val="28"/>
        </w:rPr>
        <w:t xml:space="preserve">Одновременно с этим продолжается программа предоставления финансовой поддержки в рамках постановления Правительства Российской Федерации от 26.12.2015 г. № 1451. По ней предусмотрена финансовая поддержка до 60% стоимости мероприятий проекта, но не более 300 </w:t>
      </w:r>
      <w:proofErr w:type="spellStart"/>
      <w:r w:rsidRPr="00945111">
        <w:rPr>
          <w:sz w:val="28"/>
        </w:rPr>
        <w:t>млн.руб</w:t>
      </w:r>
      <w:proofErr w:type="spellEnd"/>
      <w:r w:rsidRPr="00945111">
        <w:rPr>
          <w:sz w:val="28"/>
        </w:rPr>
        <w:t xml:space="preserve"> на </w:t>
      </w:r>
      <w:proofErr w:type="spellStart"/>
      <w:proofErr w:type="gramStart"/>
      <w:r w:rsidRPr="00945111">
        <w:rPr>
          <w:sz w:val="28"/>
        </w:rPr>
        <w:t>на</w:t>
      </w:r>
      <w:proofErr w:type="spellEnd"/>
      <w:proofErr w:type="gramEnd"/>
      <w:r w:rsidRPr="00945111">
        <w:rPr>
          <w:sz w:val="28"/>
        </w:rPr>
        <w:t xml:space="preserve"> создание, реконструкцию, модернизацию объектов коммунальной инфраструктуры, возмещение части фактически понесенных затрат на уплату процентов по кредитам и облигационным займам и оплату части расходов на подготовку проекта модернизации. Второй формой поддержки является субсидия участнику проекта на уплату процентов по кредитам и облигационным займам в размере</w:t>
      </w:r>
      <w:r>
        <w:rPr>
          <w:sz w:val="28"/>
        </w:rPr>
        <w:t xml:space="preserve"> 65% ключевой ставки ЦБ РФ.</w:t>
      </w:r>
    </w:p>
    <w:p w:rsidR="00945111" w:rsidRPr="00945111" w:rsidRDefault="00945111" w:rsidP="00C16F28">
      <w:pPr>
        <w:ind w:firstLine="567"/>
        <w:jc w:val="both"/>
        <w:rPr>
          <w:sz w:val="28"/>
        </w:rPr>
      </w:pPr>
      <w:r w:rsidRPr="00945111">
        <w:rPr>
          <w:sz w:val="28"/>
        </w:rPr>
        <w:t>Третьим направлением поддержки инвестиций является налоговая поддержка «зеленых» проектов. С 1 января 2019 года вступили в силу изменения в налоговом законодательстве, позволяющие применять к основной норме амортизации специальные коэффициенты:</w:t>
      </w:r>
    </w:p>
    <w:p w:rsidR="00945111" w:rsidRPr="00945111" w:rsidRDefault="00945111" w:rsidP="00945111">
      <w:pPr>
        <w:jc w:val="both"/>
        <w:rPr>
          <w:sz w:val="28"/>
        </w:rPr>
      </w:pPr>
      <w:r w:rsidRPr="00945111">
        <w:rPr>
          <w:sz w:val="28"/>
        </w:rPr>
        <w:t>•</w:t>
      </w:r>
      <w:r w:rsidRPr="00945111">
        <w:rPr>
          <w:sz w:val="28"/>
        </w:rPr>
        <w:tab/>
        <w:t>в отношении амортизируемых основных средств, относящихся к основному технологическому оборудованию, эксплуатируемому в случае применения наилучших доступных технологий (коэффициент не выше 2х).</w:t>
      </w:r>
    </w:p>
    <w:p w:rsidR="00945111" w:rsidRPr="00945111" w:rsidRDefault="00945111" w:rsidP="00945111">
      <w:pPr>
        <w:jc w:val="both"/>
        <w:rPr>
          <w:sz w:val="28"/>
        </w:rPr>
      </w:pPr>
      <w:r w:rsidRPr="00945111">
        <w:rPr>
          <w:sz w:val="28"/>
        </w:rPr>
        <w:t>•</w:t>
      </w:r>
      <w:r w:rsidRPr="00945111">
        <w:rPr>
          <w:sz w:val="28"/>
        </w:rPr>
        <w:tab/>
      </w:r>
      <w:proofErr w:type="gramStart"/>
      <w:r w:rsidRPr="00945111">
        <w:rPr>
          <w:sz w:val="28"/>
        </w:rPr>
        <w:t>в</w:t>
      </w:r>
      <w:proofErr w:type="gramEnd"/>
      <w:r w:rsidRPr="00945111">
        <w:rPr>
          <w:sz w:val="28"/>
        </w:rPr>
        <w:t xml:space="preserve"> отношении ограниченного числа амортизируемых основных средств, используемых в сфере водоснабжения и водоотведени</w:t>
      </w:r>
      <w:r>
        <w:rPr>
          <w:sz w:val="28"/>
        </w:rPr>
        <w:t>я (коэффициент не выше 3х).</w:t>
      </w:r>
    </w:p>
    <w:p w:rsidR="00945111" w:rsidRPr="00945111" w:rsidRDefault="00945111" w:rsidP="00C16F28">
      <w:pPr>
        <w:ind w:firstLine="567"/>
        <w:jc w:val="both"/>
        <w:rPr>
          <w:sz w:val="28"/>
        </w:rPr>
      </w:pPr>
      <w:r w:rsidRPr="00945111">
        <w:rPr>
          <w:sz w:val="28"/>
        </w:rPr>
        <w:t>Однако на практике организации ВКХ практически лишены возможности использовать данные налоговые льготы из-за нормативных и организационных барьеров.</w:t>
      </w:r>
    </w:p>
    <w:p w:rsidR="00945111" w:rsidRPr="00945111" w:rsidRDefault="00945111" w:rsidP="00C16F28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</w:t>
      </w:r>
      <w:r w:rsidRPr="00945111">
        <w:rPr>
          <w:sz w:val="28"/>
        </w:rPr>
        <w:t>оздание рыночных стандартов «зеленого» кредитования, обеспечение целостности этого сегмента рынка кредитования и сохранения гибкости кредитных продуктов опирается на специально разработанные принципы и методологию, используем</w:t>
      </w:r>
      <w:r>
        <w:rPr>
          <w:sz w:val="28"/>
        </w:rPr>
        <w:t>ую всеми участниками рынка.</w:t>
      </w:r>
    </w:p>
    <w:p w:rsidR="00945111" w:rsidRPr="00945111" w:rsidRDefault="00945111" w:rsidP="00C16F28">
      <w:pPr>
        <w:ind w:firstLine="567"/>
        <w:jc w:val="both"/>
        <w:rPr>
          <w:sz w:val="28"/>
        </w:rPr>
      </w:pPr>
      <w:r w:rsidRPr="00945111">
        <w:rPr>
          <w:sz w:val="28"/>
        </w:rPr>
        <w:t xml:space="preserve">Создание </w:t>
      </w:r>
      <w:proofErr w:type="gramStart"/>
      <w:r w:rsidRPr="00945111">
        <w:rPr>
          <w:sz w:val="28"/>
        </w:rPr>
        <w:t>пакета мер поддержки привлечения внебюджетных средств</w:t>
      </w:r>
      <w:proofErr w:type="gramEnd"/>
      <w:r w:rsidRPr="00945111">
        <w:rPr>
          <w:sz w:val="28"/>
        </w:rPr>
        <w:t xml:space="preserve"> в мероприятия ФП «Чистая вода» должно предусматривать систему, состоящую их компонентов бюджетной поддержки, отвечающих принципам «зеленого» финансирования и опирающихся на единую методологию. Это позволит снизить разнонаправленность действий государственных органов (как федеральных, так и регионального уровня), что сегодня ведет к блокированию новых инструментов и невозможности использовать существующие.</w:t>
      </w:r>
    </w:p>
    <w:p w:rsidR="00945111" w:rsidRPr="00945111" w:rsidRDefault="00945111" w:rsidP="00C16F28">
      <w:pPr>
        <w:ind w:firstLine="567"/>
        <w:jc w:val="both"/>
        <w:rPr>
          <w:sz w:val="28"/>
        </w:rPr>
      </w:pPr>
      <w:r w:rsidRPr="00945111">
        <w:rPr>
          <w:sz w:val="28"/>
        </w:rPr>
        <w:t>Основными компонентами системы поддержки и привлечения внебюджетных инструментов могут являться:</w:t>
      </w:r>
    </w:p>
    <w:p w:rsidR="00945111" w:rsidRPr="00945111" w:rsidRDefault="00945111" w:rsidP="00945111">
      <w:pPr>
        <w:jc w:val="both"/>
        <w:rPr>
          <w:sz w:val="28"/>
        </w:rPr>
      </w:pPr>
      <w:r w:rsidRPr="00945111">
        <w:rPr>
          <w:sz w:val="28"/>
        </w:rPr>
        <w:t>•</w:t>
      </w:r>
      <w:r w:rsidRPr="00945111">
        <w:rPr>
          <w:sz w:val="28"/>
        </w:rPr>
        <w:tab/>
        <w:t>Субсидирование процентных ставок</w:t>
      </w:r>
    </w:p>
    <w:p w:rsidR="00945111" w:rsidRPr="00945111" w:rsidRDefault="00945111" w:rsidP="00945111">
      <w:pPr>
        <w:jc w:val="both"/>
        <w:rPr>
          <w:sz w:val="28"/>
        </w:rPr>
      </w:pPr>
      <w:r w:rsidRPr="00945111">
        <w:rPr>
          <w:sz w:val="28"/>
        </w:rPr>
        <w:t>•</w:t>
      </w:r>
      <w:r w:rsidRPr="00945111">
        <w:rPr>
          <w:sz w:val="28"/>
        </w:rPr>
        <w:tab/>
        <w:t>Применение особых налоговых режимов</w:t>
      </w:r>
    </w:p>
    <w:p w:rsidR="00945111" w:rsidRPr="00945111" w:rsidRDefault="00945111" w:rsidP="00945111">
      <w:pPr>
        <w:jc w:val="both"/>
        <w:rPr>
          <w:sz w:val="28"/>
        </w:rPr>
      </w:pPr>
      <w:r w:rsidRPr="00945111">
        <w:rPr>
          <w:sz w:val="28"/>
        </w:rPr>
        <w:t>•</w:t>
      </w:r>
      <w:r w:rsidRPr="00945111">
        <w:rPr>
          <w:sz w:val="28"/>
        </w:rPr>
        <w:tab/>
        <w:t>Налоговые льготы</w:t>
      </w:r>
    </w:p>
    <w:p w:rsidR="00945111" w:rsidRPr="00945111" w:rsidRDefault="00945111" w:rsidP="00945111">
      <w:pPr>
        <w:jc w:val="both"/>
        <w:rPr>
          <w:sz w:val="28"/>
        </w:rPr>
      </w:pPr>
      <w:r w:rsidRPr="00945111">
        <w:rPr>
          <w:sz w:val="28"/>
        </w:rPr>
        <w:t>•</w:t>
      </w:r>
      <w:r w:rsidRPr="00945111">
        <w:rPr>
          <w:sz w:val="28"/>
        </w:rPr>
        <w:tab/>
        <w:t>Гарантии государственных органов и институтов развития.</w:t>
      </w:r>
    </w:p>
    <w:p w:rsidR="00945111" w:rsidRDefault="00945111" w:rsidP="003979D8">
      <w:pPr>
        <w:ind w:firstLine="567"/>
        <w:jc w:val="both"/>
        <w:rPr>
          <w:sz w:val="28"/>
        </w:rPr>
      </w:pPr>
      <w:r w:rsidRPr="00945111">
        <w:rPr>
          <w:sz w:val="28"/>
        </w:rPr>
        <w:t xml:space="preserve">Важным условием позитивного инвестиционного климата является институциональная среда, снижающая транзакционные издержки инвестора. </w:t>
      </w:r>
    </w:p>
    <w:p w:rsidR="00805246" w:rsidRPr="003979D8" w:rsidRDefault="00805246" w:rsidP="003979D8">
      <w:pPr>
        <w:pStyle w:val="2"/>
        <w:jc w:val="center"/>
        <w:rPr>
          <w:sz w:val="28"/>
        </w:rPr>
      </w:pPr>
      <w:bookmarkStart w:id="10" w:name="_Toc17380263"/>
      <w:r w:rsidRPr="003979D8">
        <w:rPr>
          <w:sz w:val="28"/>
        </w:rPr>
        <w:t>2.3 Создание благоприятного инвестиционного климата</w:t>
      </w:r>
      <w:r w:rsidR="00DF0D39" w:rsidRPr="003979D8">
        <w:rPr>
          <w:sz w:val="28"/>
        </w:rPr>
        <w:t xml:space="preserve"> в ВКХ</w:t>
      </w:r>
      <w:bookmarkEnd w:id="10"/>
    </w:p>
    <w:p w:rsidR="005D4E46" w:rsidRPr="00873E80" w:rsidRDefault="005D4E46" w:rsidP="00873E8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360BE">
        <w:rPr>
          <w:sz w:val="28"/>
          <w:szCs w:val="28"/>
        </w:rPr>
        <w:t>Разрешить акционирование и другие формы ГЧП в водоснабжении и водоотведении</w:t>
      </w:r>
      <w:proofErr w:type="gramStart"/>
      <w:r w:rsidR="000360BE" w:rsidRPr="000360BE">
        <w:rPr>
          <w:sz w:val="28"/>
          <w:szCs w:val="28"/>
        </w:rPr>
        <w:t>.</w:t>
      </w:r>
      <w:proofErr w:type="gramEnd"/>
      <w:r w:rsidR="000360BE" w:rsidRPr="000360BE">
        <w:rPr>
          <w:sz w:val="28"/>
          <w:szCs w:val="28"/>
        </w:rPr>
        <w:t xml:space="preserve"> </w:t>
      </w:r>
      <w:proofErr w:type="gramStart"/>
      <w:r w:rsidR="000360BE" w:rsidRPr="000360BE">
        <w:rPr>
          <w:sz w:val="28"/>
          <w:szCs w:val="28"/>
        </w:rPr>
        <w:t>у</w:t>
      </w:r>
      <w:proofErr w:type="gramEnd"/>
      <w:r w:rsidR="000360BE" w:rsidRPr="000360BE">
        <w:rPr>
          <w:sz w:val="28"/>
          <w:szCs w:val="28"/>
        </w:rPr>
        <w:t>величение доли присутствия частного капитала в сфере водоснабжения и водоотведения, в том числе путем разрешения акционирования, передачи объектов в уставный каптал акционерных обществ, а также приватизации объектов водоснабжения и водоотведения, находящихся в государственной или муниципальной собственности;</w:t>
      </w:r>
    </w:p>
    <w:p w:rsidR="00805246" w:rsidRDefault="005D4E46" w:rsidP="005D4E4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D4E46">
        <w:rPr>
          <w:sz w:val="28"/>
          <w:szCs w:val="28"/>
        </w:rPr>
        <w:t>исключение необоснованных административных барьеров, влекущих дисбаланс публичных и частных интересов</w:t>
      </w:r>
      <w:r w:rsidR="00712F66">
        <w:rPr>
          <w:sz w:val="28"/>
          <w:szCs w:val="28"/>
        </w:rPr>
        <w:t>, с</w:t>
      </w:r>
      <w:r w:rsidR="00712F66" w:rsidRPr="00D07002">
        <w:rPr>
          <w:sz w:val="28"/>
          <w:szCs w:val="28"/>
        </w:rPr>
        <w:t>нижение административной нагрузки, создаваемой избыточными действиями надзорных и контролирующих органов</w:t>
      </w:r>
    </w:p>
    <w:p w:rsidR="006F1693" w:rsidRPr="008323E4" w:rsidRDefault="006F1693" w:rsidP="006F169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F1693">
        <w:rPr>
          <w:sz w:val="28"/>
          <w:szCs w:val="28"/>
        </w:rPr>
        <w:lastRenderedPageBreak/>
        <w:t>Поэтапная переоценка основных фондов с постепенным приведением к реальной стоимости</w:t>
      </w:r>
    </w:p>
    <w:p w:rsidR="008323E4" w:rsidRPr="008323E4" w:rsidRDefault="008323E4" w:rsidP="008323E4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323E4">
        <w:rPr>
          <w:sz w:val="28"/>
          <w:szCs w:val="28"/>
        </w:rPr>
        <w:t>формирование системы взаимного доверия между отраслевыми организациями, потребителями и органами публичной власти</w:t>
      </w:r>
    </w:p>
    <w:p w:rsidR="008323E4" w:rsidRDefault="001307A9" w:rsidP="001307A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1307A9">
        <w:rPr>
          <w:sz w:val="28"/>
          <w:szCs w:val="28"/>
        </w:rPr>
        <w:t>Установление приоритета условий концессионного соглашения при разработке и утверждении планов по приведению качества питьевой воды в соответствие с установленными требованиями, технического задания на разработку или корректировку инвестиционной программы (в части учета мероприятий указанного плана), а также плана мероприятий по охране окружающей среды или программы повышения экологической эффективности.</w:t>
      </w:r>
      <w:proofErr w:type="gramEnd"/>
      <w:r w:rsidRPr="001307A9">
        <w:rPr>
          <w:sz w:val="28"/>
          <w:szCs w:val="28"/>
        </w:rPr>
        <w:t xml:space="preserve"> Предоставление концессионеру, осуществляющему эксплуатацию объектов водоснабжения и водоотведения, возможности в течение 1 года </w:t>
      </w:r>
      <w:proofErr w:type="gramStart"/>
      <w:r w:rsidRPr="001307A9">
        <w:rPr>
          <w:sz w:val="28"/>
          <w:szCs w:val="28"/>
        </w:rPr>
        <w:t>с даты передачи</w:t>
      </w:r>
      <w:proofErr w:type="gramEnd"/>
      <w:r w:rsidRPr="001307A9">
        <w:rPr>
          <w:sz w:val="28"/>
          <w:szCs w:val="28"/>
        </w:rPr>
        <w:t xml:space="preserve"> ему соответствующих объектов применять разрешительную документацию и лицензии, выданные предыдущей эксплуатирующей организации.</w:t>
      </w:r>
    </w:p>
    <w:p w:rsidR="00DA3425" w:rsidRPr="001307A9" w:rsidRDefault="00DA3425" w:rsidP="00DA342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DA3425">
        <w:rPr>
          <w:sz w:val="28"/>
          <w:szCs w:val="28"/>
        </w:rPr>
        <w:t>Повышение адресности субсидий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>Разумный пересмотр имущественных ограничений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В настоящее время инвестиционная привлекательность сферы ВКХ ограничена запретом на отчуждение объектов централизованных систем водоснабжения и водоотведения, а также на передачу указанных объектов и прав пользования ими в залог, либо внесение таких объектов и прав в уставные капиталы субъектов хозяйственной деятельности. 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proofErr w:type="gramStart"/>
      <w:r w:rsidRPr="003979D8">
        <w:rPr>
          <w:sz w:val="28"/>
        </w:rPr>
        <w:t>Помимо невозможности привлечения инвестиций под залог, это приводит к росту количества бесхозяйных объектов систем водоснабжения и водоотведения, что не позволяет реализовать один из принципов государственной политики в сфере водоснабжения и водоотведения (статья 3 Федерального закона от 07.12.2011 № 416-ФЗ) - обеспечение технологического и организационного единства и целостности централизованных систем холодного водоснабжения и водоотведения.</w:t>
      </w:r>
      <w:proofErr w:type="gramEnd"/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При этом в ряде населенных пунктов, в том числе в городе федерального значения Москве, статусом гарантирующих организаций наделены юридические лица, созданные в организационно-правовой форме акционерного общества. Как правило, такие акционерные общества были созданы в соответствии с законодательством о приватизации путем </w:t>
      </w:r>
      <w:r w:rsidRPr="003979D8">
        <w:rPr>
          <w:sz w:val="28"/>
        </w:rPr>
        <w:lastRenderedPageBreak/>
        <w:t>преобразования государственного или муниципального унитарного предприятия в акционерное общество, а их акции (100%) находятся в государственной (муниципальной) собственности.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В связи с этим в муниципальных образованиях и городах федерального значения, в которых статусом гарантирующей организации наделены юридические лица, созданные в организационно-правовой форме акционерного общества, технологически связанные объекты централизованных систем водоснабжения (водоотведения) могут быть переданы в эксплуатацию гарантирующей организации только путем передачи в аренду, что приводит </w:t>
      </w:r>
      <w:proofErr w:type="gramStart"/>
      <w:r w:rsidRPr="003979D8">
        <w:rPr>
          <w:sz w:val="28"/>
        </w:rPr>
        <w:t>к</w:t>
      </w:r>
      <w:proofErr w:type="gramEnd"/>
      <w:r w:rsidRPr="003979D8">
        <w:rPr>
          <w:sz w:val="28"/>
        </w:rPr>
        <w:t>: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>- дополнительным расходам в размере арендной платы;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- невозможности начисления амортизации гарантирующей организацией, </w:t>
      </w:r>
      <w:proofErr w:type="gramStart"/>
      <w:r w:rsidRPr="003979D8">
        <w:rPr>
          <w:sz w:val="28"/>
        </w:rPr>
        <w:t>а</w:t>
      </w:r>
      <w:proofErr w:type="gramEnd"/>
      <w:r w:rsidRPr="003979D8">
        <w:rPr>
          <w:sz w:val="28"/>
        </w:rPr>
        <w:t xml:space="preserve"> следовательно, к отсутствию источника для обновления основных фондов.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>Кроме того, в настоящее время в сфере водоснабжения и водоотведения отсутствуют иные способы привлечения частных инвестиций, кроме концессии, что также является ограничивающим фактором.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proofErr w:type="gramStart"/>
      <w:r w:rsidRPr="003979D8">
        <w:rPr>
          <w:sz w:val="28"/>
        </w:rPr>
        <w:t>В связи с изложенным в целях повышения инвестиционной привлекательности сферы водоснабжения и водоотведения представляется целесообразным:</w:t>
      </w:r>
      <w:proofErr w:type="gramEnd"/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>1) рассмотреть возможность внесения объектов централизованных систем водоснабжения и водоотведения и прав пользования ими в залог;</w:t>
      </w:r>
    </w:p>
    <w:p w:rsidR="00736A2D" w:rsidRPr="003979D8" w:rsidRDefault="00736A2D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>2) разрешить внесение технологически связанных объектов централизованных систем в уставные капиталы гарантирующих организаций, являющихся акционерными обществами, акции которых находятся в государственной или муниципальной собственности в размере, предоставляющем на момент принятия соответствующего решения более чем 50 процентов голосов на общем собрании акционеров;</w:t>
      </w:r>
    </w:p>
    <w:p w:rsidR="001307A9" w:rsidRPr="00275221" w:rsidRDefault="00736A2D" w:rsidP="003979D8">
      <w:pPr>
        <w:ind w:firstLine="567"/>
        <w:jc w:val="both"/>
        <w:rPr>
          <w:sz w:val="28"/>
          <w:szCs w:val="28"/>
        </w:rPr>
      </w:pPr>
      <w:r w:rsidRPr="003979D8">
        <w:rPr>
          <w:sz w:val="28"/>
        </w:rPr>
        <w:t>3) предусмотреть возможность реализации в сфере ВКХ иных форм государственно-частного</w:t>
      </w:r>
      <w:r w:rsidRPr="00736A2D">
        <w:rPr>
          <w:sz w:val="28"/>
          <w:szCs w:val="28"/>
        </w:rPr>
        <w:t xml:space="preserve"> партнерства, кроме концессии.</w:t>
      </w:r>
    </w:p>
    <w:p w:rsidR="003979D8" w:rsidRDefault="003979D8" w:rsidP="003979D8">
      <w:pPr>
        <w:pStyle w:val="2"/>
        <w:jc w:val="center"/>
        <w:rPr>
          <w:sz w:val="28"/>
          <w:lang w:val="en-US"/>
        </w:rPr>
      </w:pPr>
    </w:p>
    <w:p w:rsidR="00805246" w:rsidRDefault="00805246" w:rsidP="003979D8">
      <w:pPr>
        <w:pStyle w:val="2"/>
        <w:jc w:val="center"/>
        <w:rPr>
          <w:sz w:val="28"/>
          <w:lang w:val="en-US"/>
        </w:rPr>
      </w:pPr>
      <w:bookmarkStart w:id="11" w:name="_Toc17380264"/>
      <w:r w:rsidRPr="003979D8">
        <w:rPr>
          <w:sz w:val="28"/>
        </w:rPr>
        <w:t xml:space="preserve">2.4 Совершенствование </w:t>
      </w:r>
      <w:r w:rsidR="00DF0D39" w:rsidRPr="003979D8">
        <w:rPr>
          <w:sz w:val="28"/>
        </w:rPr>
        <w:t>государственной</w:t>
      </w:r>
      <w:r w:rsidRPr="003979D8">
        <w:rPr>
          <w:sz w:val="28"/>
        </w:rPr>
        <w:t xml:space="preserve"> поддержки </w:t>
      </w:r>
      <w:r w:rsidR="00DF0D39" w:rsidRPr="003979D8">
        <w:rPr>
          <w:sz w:val="28"/>
        </w:rPr>
        <w:t>развития ВКХ</w:t>
      </w:r>
      <w:bookmarkEnd w:id="11"/>
    </w:p>
    <w:p w:rsidR="003979D8" w:rsidRPr="003979D8" w:rsidRDefault="003979D8" w:rsidP="003979D8">
      <w:pPr>
        <w:rPr>
          <w:lang w:val="en-US"/>
        </w:rPr>
      </w:pPr>
    </w:p>
    <w:p w:rsidR="00E66DB6" w:rsidRDefault="00E66DB6" w:rsidP="00E66DB6">
      <w:pPr>
        <w:numPr>
          <w:ilvl w:val="0"/>
          <w:numId w:val="9"/>
        </w:numPr>
        <w:spacing w:after="0" w:line="240" w:lineRule="auto"/>
        <w:ind w:left="317"/>
        <w:contextualSpacing/>
        <w:jc w:val="both"/>
        <w:rPr>
          <w:sz w:val="28"/>
          <w:szCs w:val="28"/>
        </w:rPr>
      </w:pPr>
      <w:r w:rsidRPr="00E66DB6">
        <w:rPr>
          <w:sz w:val="28"/>
          <w:szCs w:val="28"/>
        </w:rPr>
        <w:t xml:space="preserve">Введение налоговых инструментов стимулирования инвестиций: </w:t>
      </w:r>
    </w:p>
    <w:p w:rsidR="00E66DB6" w:rsidRDefault="00E66DB6" w:rsidP="00E66DB6">
      <w:pPr>
        <w:numPr>
          <w:ilvl w:val="0"/>
          <w:numId w:val="9"/>
        </w:numPr>
        <w:spacing w:after="0" w:line="240" w:lineRule="auto"/>
        <w:ind w:left="1843"/>
        <w:contextualSpacing/>
        <w:jc w:val="both"/>
        <w:rPr>
          <w:sz w:val="28"/>
          <w:szCs w:val="28"/>
        </w:rPr>
      </w:pPr>
      <w:r w:rsidRPr="00E66DB6">
        <w:rPr>
          <w:sz w:val="28"/>
          <w:szCs w:val="28"/>
        </w:rPr>
        <w:t>Сохранение налогового режима при заключ</w:t>
      </w:r>
      <w:r>
        <w:rPr>
          <w:sz w:val="28"/>
          <w:szCs w:val="28"/>
        </w:rPr>
        <w:t>ении концессионного соглашения</w:t>
      </w:r>
    </w:p>
    <w:p w:rsidR="00E66DB6" w:rsidRDefault="00E66DB6" w:rsidP="00E66DB6">
      <w:pPr>
        <w:numPr>
          <w:ilvl w:val="0"/>
          <w:numId w:val="9"/>
        </w:numPr>
        <w:spacing w:after="0" w:line="240" w:lineRule="auto"/>
        <w:ind w:left="1843"/>
        <w:contextualSpacing/>
        <w:jc w:val="both"/>
        <w:rPr>
          <w:sz w:val="28"/>
          <w:szCs w:val="28"/>
        </w:rPr>
      </w:pPr>
      <w:r w:rsidRPr="00E66DB6">
        <w:rPr>
          <w:sz w:val="28"/>
          <w:szCs w:val="28"/>
        </w:rPr>
        <w:t>льготирование налога на имущество на новое строительст</w:t>
      </w:r>
      <w:r>
        <w:rPr>
          <w:sz w:val="28"/>
          <w:szCs w:val="28"/>
        </w:rPr>
        <w:t>во и реконструкцию объектов ВКХ</w:t>
      </w:r>
    </w:p>
    <w:p w:rsidR="00873E80" w:rsidRDefault="00873E80" w:rsidP="00E66DB6">
      <w:pPr>
        <w:numPr>
          <w:ilvl w:val="0"/>
          <w:numId w:val="9"/>
        </w:numPr>
        <w:spacing w:after="0" w:line="240" w:lineRule="auto"/>
        <w:ind w:left="18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НДС на </w:t>
      </w:r>
      <w:proofErr w:type="gramStart"/>
      <w:r>
        <w:rPr>
          <w:sz w:val="28"/>
          <w:szCs w:val="28"/>
        </w:rPr>
        <w:t>питьевую</w:t>
      </w:r>
      <w:proofErr w:type="gramEnd"/>
      <w:r>
        <w:rPr>
          <w:sz w:val="28"/>
          <w:szCs w:val="28"/>
        </w:rPr>
        <w:t xml:space="preserve"> вод до 10%</w:t>
      </w:r>
    </w:p>
    <w:p w:rsidR="00E66DB6" w:rsidRPr="00926C87" w:rsidRDefault="00E66DB6" w:rsidP="00E66DB6">
      <w:pPr>
        <w:numPr>
          <w:ilvl w:val="0"/>
          <w:numId w:val="9"/>
        </w:numPr>
        <w:spacing w:after="0" w:line="240" w:lineRule="auto"/>
        <w:ind w:left="1843"/>
        <w:contextualSpacing/>
        <w:jc w:val="both"/>
        <w:rPr>
          <w:sz w:val="28"/>
          <w:szCs w:val="28"/>
        </w:rPr>
      </w:pPr>
      <w:r w:rsidRPr="00E66DB6">
        <w:rPr>
          <w:sz w:val="28"/>
          <w:szCs w:val="28"/>
        </w:rPr>
        <w:t xml:space="preserve">  применение повышенных коэффициентов амортизации к объектам ВКХ и основным средствам, относящимся к основному технологическому оборудованию, эксплуатируемому в случае применения НДТ</w:t>
      </w:r>
    </w:p>
    <w:p w:rsidR="00926C87" w:rsidRPr="00E66DB6" w:rsidRDefault="00926C87" w:rsidP="00926C87">
      <w:pPr>
        <w:numPr>
          <w:ilvl w:val="0"/>
          <w:numId w:val="9"/>
        </w:numPr>
        <w:spacing w:after="0" w:line="240" w:lineRule="auto"/>
        <w:ind w:left="1843"/>
        <w:contextualSpacing/>
        <w:jc w:val="both"/>
        <w:rPr>
          <w:sz w:val="28"/>
          <w:szCs w:val="28"/>
        </w:rPr>
      </w:pPr>
      <w:r w:rsidRPr="00926C87">
        <w:rPr>
          <w:sz w:val="28"/>
          <w:szCs w:val="28"/>
        </w:rPr>
        <w:t xml:space="preserve">Внесение в Налоговый кодекс РФ изменений в части отмены восстановления НДС для концессионеров (арендаторов) при безвозмездной передаче публичным образованиям объектов инфраструктуры, созданных или реконструированных </w:t>
      </w:r>
      <w:proofErr w:type="spellStart"/>
      <w:r w:rsidRPr="00926C87">
        <w:rPr>
          <w:sz w:val="28"/>
          <w:szCs w:val="28"/>
        </w:rPr>
        <w:t>ресурсоснабжающими</w:t>
      </w:r>
      <w:proofErr w:type="spellEnd"/>
      <w:r w:rsidRPr="00926C87">
        <w:rPr>
          <w:sz w:val="28"/>
          <w:szCs w:val="28"/>
        </w:rPr>
        <w:t xml:space="preserve"> организациями в рамках концессионного соглашения и (или) инвестиционной программы.</w:t>
      </w:r>
    </w:p>
    <w:p w:rsidR="00DF0D39" w:rsidRPr="002A1F79" w:rsidRDefault="002A1F79" w:rsidP="002A1F79">
      <w:pPr>
        <w:numPr>
          <w:ilvl w:val="0"/>
          <w:numId w:val="9"/>
        </w:numPr>
        <w:spacing w:after="0" w:line="240" w:lineRule="auto"/>
        <w:ind w:left="317"/>
        <w:contextualSpacing/>
        <w:jc w:val="both"/>
        <w:rPr>
          <w:sz w:val="28"/>
          <w:szCs w:val="28"/>
        </w:rPr>
      </w:pPr>
      <w:r w:rsidRPr="002A1F79">
        <w:rPr>
          <w:sz w:val="28"/>
          <w:szCs w:val="28"/>
        </w:rPr>
        <w:t xml:space="preserve">Включение финансирования объектов ВКХ в рамках программ </w:t>
      </w:r>
      <w:proofErr w:type="spellStart"/>
      <w:r w:rsidRPr="002A1F79">
        <w:rPr>
          <w:sz w:val="28"/>
          <w:szCs w:val="28"/>
        </w:rPr>
        <w:t>Минпромторга</w:t>
      </w:r>
      <w:proofErr w:type="spellEnd"/>
      <w:r w:rsidRPr="002A1F79">
        <w:rPr>
          <w:sz w:val="28"/>
          <w:szCs w:val="28"/>
        </w:rPr>
        <w:t xml:space="preserve"> и </w:t>
      </w:r>
      <w:proofErr w:type="spellStart"/>
      <w:r w:rsidRPr="002A1F79">
        <w:rPr>
          <w:sz w:val="28"/>
          <w:szCs w:val="28"/>
        </w:rPr>
        <w:t>гос</w:t>
      </w:r>
      <w:proofErr w:type="gramStart"/>
      <w:r w:rsidRPr="002A1F79">
        <w:rPr>
          <w:sz w:val="28"/>
          <w:szCs w:val="28"/>
        </w:rPr>
        <w:t>.и</w:t>
      </w:r>
      <w:proofErr w:type="gramEnd"/>
      <w:r w:rsidRPr="002A1F79">
        <w:rPr>
          <w:sz w:val="28"/>
          <w:szCs w:val="28"/>
        </w:rPr>
        <w:t>нститутов</w:t>
      </w:r>
      <w:proofErr w:type="spellEnd"/>
      <w:r w:rsidRPr="002A1F79">
        <w:rPr>
          <w:sz w:val="28"/>
          <w:szCs w:val="28"/>
        </w:rPr>
        <w:t xml:space="preserve"> развития </w:t>
      </w:r>
    </w:p>
    <w:p w:rsidR="008323E4" w:rsidRPr="008323E4" w:rsidRDefault="008323E4" w:rsidP="008323E4">
      <w:pPr>
        <w:numPr>
          <w:ilvl w:val="0"/>
          <w:numId w:val="9"/>
        </w:numPr>
        <w:spacing w:after="0" w:line="240" w:lineRule="auto"/>
        <w:contextualSpacing/>
        <w:jc w:val="both"/>
        <w:rPr>
          <w:sz w:val="28"/>
        </w:rPr>
      </w:pPr>
      <w:r w:rsidRPr="008323E4">
        <w:rPr>
          <w:sz w:val="28"/>
        </w:rPr>
        <w:t>создание полноценных институтов развития отрасли, направленных на решение макроэкономических, научно-технологических, кадровых, иных проблем отрасли, создание правовых и финансовых гарантий стабильной работы компаний, осуществляющих инвестиционную деятельность</w:t>
      </w:r>
    </w:p>
    <w:p w:rsidR="00E66DB6" w:rsidRPr="00C258B3" w:rsidRDefault="00FC5663" w:rsidP="00365335">
      <w:pPr>
        <w:numPr>
          <w:ilvl w:val="0"/>
          <w:numId w:val="9"/>
        </w:numPr>
        <w:spacing w:after="0" w:line="240" w:lineRule="auto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? </w:t>
      </w:r>
      <w:r w:rsidR="00E0733B">
        <w:rPr>
          <w:sz w:val="28"/>
          <w:szCs w:val="28"/>
        </w:rPr>
        <w:t>С</w:t>
      </w:r>
      <w:r w:rsidR="00E0733B" w:rsidRPr="00F429D3">
        <w:rPr>
          <w:sz w:val="28"/>
          <w:szCs w:val="28"/>
        </w:rPr>
        <w:t>оздание и развитие системы экологических фондов</w:t>
      </w:r>
      <w:proofErr w:type="gramStart"/>
      <w:r>
        <w:rPr>
          <w:sz w:val="28"/>
          <w:szCs w:val="28"/>
        </w:rPr>
        <w:t xml:space="preserve"> ?</w:t>
      </w:r>
      <w:proofErr w:type="gramEnd"/>
      <w:r w:rsidR="00365335">
        <w:rPr>
          <w:sz w:val="28"/>
          <w:szCs w:val="28"/>
        </w:rPr>
        <w:t xml:space="preserve"> </w:t>
      </w:r>
      <w:r w:rsidR="00365335" w:rsidRPr="00365335">
        <w:rPr>
          <w:sz w:val="28"/>
          <w:szCs w:val="28"/>
        </w:rPr>
        <w:t>Разработка механизмов экологического страхования на базе привлечения средств экологических фондов, а также использование подобных механизмов для цели их формирования</w:t>
      </w:r>
    </w:p>
    <w:p w:rsidR="00C258B3" w:rsidRPr="00EB2074" w:rsidRDefault="00C258B3" w:rsidP="00C258B3">
      <w:pPr>
        <w:pStyle w:val="a3"/>
        <w:numPr>
          <w:ilvl w:val="0"/>
          <w:numId w:val="9"/>
        </w:numPr>
        <w:rPr>
          <w:sz w:val="28"/>
        </w:rPr>
      </w:pPr>
      <w:r w:rsidRPr="00C258B3">
        <w:rPr>
          <w:sz w:val="28"/>
        </w:rPr>
        <w:t>стимулирование и поддержка инновационной деятельности организаций жилищно-коммунального комплекса и смежных отраслей в направлении повышения эффективности использования;</w:t>
      </w:r>
    </w:p>
    <w:p w:rsidR="00EB2074" w:rsidRPr="00EB2074" w:rsidRDefault="00EB2074" w:rsidP="00EB2074">
      <w:pPr>
        <w:pStyle w:val="a3"/>
        <w:numPr>
          <w:ilvl w:val="0"/>
          <w:numId w:val="9"/>
        </w:numPr>
        <w:rPr>
          <w:sz w:val="28"/>
        </w:rPr>
      </w:pPr>
      <w:r w:rsidRPr="00EB2074">
        <w:rPr>
          <w:sz w:val="28"/>
        </w:rPr>
        <w:t xml:space="preserve">изменение структуры инвестиций в сторону увеличения доли расходов на НИОКР и инновации, модернизацию, создание высокопроизводительных рабочих мест, повышение экономической и энергетической эффективности, в результате чего в лучшую сторону </w:t>
      </w:r>
      <w:r w:rsidRPr="00EB2074">
        <w:rPr>
          <w:sz w:val="28"/>
        </w:rPr>
        <w:lastRenderedPageBreak/>
        <w:t>изменится возрастная структура основных фондов, технологический уровень производства, квалификация работников ЖКХ;</w:t>
      </w:r>
    </w:p>
    <w:p w:rsidR="00EB2074" w:rsidRPr="00DA3425" w:rsidRDefault="0081693A" w:rsidP="00DA3425">
      <w:pPr>
        <w:pStyle w:val="a3"/>
        <w:numPr>
          <w:ilvl w:val="0"/>
          <w:numId w:val="9"/>
        </w:numPr>
        <w:rPr>
          <w:sz w:val="28"/>
        </w:rPr>
      </w:pPr>
      <w:r w:rsidRPr="0081693A">
        <w:rPr>
          <w:sz w:val="28"/>
        </w:rPr>
        <w:t>существенное увеличение доли отечественного оборудования, товаров и услуг в закупках хозяйствующих субъектов в сфере ЖКХ, снижающее зависимость от импорта;</w:t>
      </w:r>
    </w:p>
    <w:p w:rsidR="000829E8" w:rsidRPr="000829E8" w:rsidRDefault="000829E8" w:rsidP="000829E8">
      <w:pPr>
        <w:numPr>
          <w:ilvl w:val="0"/>
          <w:numId w:val="9"/>
        </w:numPr>
        <w:spacing w:after="0" w:line="240" w:lineRule="auto"/>
        <w:contextualSpacing/>
        <w:jc w:val="both"/>
        <w:rPr>
          <w:sz w:val="28"/>
        </w:rPr>
      </w:pPr>
      <w:r w:rsidRPr="000829E8">
        <w:rPr>
          <w:sz w:val="28"/>
        </w:rPr>
        <w:t xml:space="preserve">Явная недостаточность мер государственной поддержки по проектированию, строительству, реконструкции (модернизации) объектов водоснабжения и водоотведения и объемов предоставляемой финансовой поддержки в условиях высокой капиталоемкости таких объектов и </w:t>
      </w:r>
      <w:proofErr w:type="spellStart"/>
      <w:r w:rsidRPr="000829E8">
        <w:rPr>
          <w:sz w:val="28"/>
        </w:rPr>
        <w:t>неокупаемости</w:t>
      </w:r>
      <w:proofErr w:type="spellEnd"/>
      <w:r w:rsidRPr="000829E8">
        <w:rPr>
          <w:sz w:val="28"/>
        </w:rPr>
        <w:t xml:space="preserve"> мероприятий по их строительству (реконструкции) (в частности, строительству (реконструкции) водопроводных и канализационных очистных сооружений). </w:t>
      </w:r>
    </w:p>
    <w:p w:rsidR="000829E8" w:rsidRPr="00DA3425" w:rsidRDefault="000829E8" w:rsidP="00DA3425">
      <w:pPr>
        <w:numPr>
          <w:ilvl w:val="0"/>
          <w:numId w:val="9"/>
        </w:numPr>
        <w:spacing w:after="0" w:line="240" w:lineRule="auto"/>
        <w:contextualSpacing/>
        <w:jc w:val="both"/>
        <w:rPr>
          <w:sz w:val="28"/>
        </w:rPr>
      </w:pPr>
      <w:proofErr w:type="gramStart"/>
      <w:r w:rsidRPr="000829E8">
        <w:rPr>
          <w:sz w:val="28"/>
        </w:rPr>
        <w:t xml:space="preserve">Приоритет предоставления такой меры государственной поддержки, как прямое </w:t>
      </w:r>
      <w:proofErr w:type="spellStart"/>
      <w:r w:rsidRPr="000829E8">
        <w:rPr>
          <w:sz w:val="28"/>
        </w:rPr>
        <w:t>софинансирование</w:t>
      </w:r>
      <w:proofErr w:type="spellEnd"/>
      <w:r w:rsidRPr="000829E8">
        <w:rPr>
          <w:sz w:val="28"/>
        </w:rPr>
        <w:t xml:space="preserve"> за счет бюджетных средств, проектам в малых городах и населенных пунктах (с населением до 250 тыс. человек), не обеспеченным частными инвестициями (исходя из логики, что инвесторы в крупных городах не нуждаются в </w:t>
      </w:r>
      <w:proofErr w:type="spellStart"/>
      <w:r w:rsidRPr="000829E8">
        <w:rPr>
          <w:sz w:val="28"/>
        </w:rPr>
        <w:t>софинансировании</w:t>
      </w:r>
      <w:proofErr w:type="spellEnd"/>
      <w:r w:rsidRPr="000829E8">
        <w:rPr>
          <w:sz w:val="28"/>
        </w:rPr>
        <w:t xml:space="preserve"> за счет бюджетных средств независимо от состояния переданных им объектов основных фондов и ограничений роста тарифов).</w:t>
      </w:r>
      <w:proofErr w:type="gramEnd"/>
    </w:p>
    <w:p w:rsidR="005D3F25" w:rsidRPr="00EB2074" w:rsidRDefault="005D3F25" w:rsidP="00877D5F">
      <w:pPr>
        <w:spacing w:after="0" w:line="240" w:lineRule="auto"/>
        <w:ind w:left="317"/>
        <w:contextualSpacing/>
        <w:jc w:val="both"/>
        <w:rPr>
          <w:sz w:val="28"/>
        </w:rPr>
      </w:pPr>
    </w:p>
    <w:p w:rsidR="000A5370" w:rsidRPr="000A5370" w:rsidRDefault="00877D5F" w:rsidP="003979D8">
      <w:pPr>
        <w:ind w:firstLine="567"/>
        <w:jc w:val="both"/>
        <w:rPr>
          <w:sz w:val="28"/>
        </w:rPr>
      </w:pPr>
      <w:r>
        <w:rPr>
          <w:sz w:val="28"/>
        </w:rPr>
        <w:t xml:space="preserve">Мероприятия в части совершенствования механизмов национальных проектов. </w:t>
      </w:r>
      <w:r w:rsidR="000A5370" w:rsidRPr="000A5370">
        <w:rPr>
          <w:sz w:val="28"/>
        </w:rPr>
        <w:t>Разработка и реализация федеральных проектов (в том числе в рамках национального проекта «Экология).</w:t>
      </w:r>
    </w:p>
    <w:p w:rsidR="000A5370" w:rsidRPr="000A5370" w:rsidRDefault="000A5370" w:rsidP="003979D8">
      <w:pPr>
        <w:ind w:firstLine="567"/>
        <w:jc w:val="both"/>
        <w:rPr>
          <w:sz w:val="28"/>
        </w:rPr>
      </w:pPr>
      <w:r w:rsidRPr="000A5370">
        <w:rPr>
          <w:sz w:val="28"/>
        </w:rPr>
        <w:t xml:space="preserve">1) Разработка и утверждение в составе национального проекта «Экология» нового федерального проекта, предусматривающего </w:t>
      </w:r>
      <w:proofErr w:type="spellStart"/>
      <w:r w:rsidRPr="000A5370">
        <w:rPr>
          <w:sz w:val="28"/>
        </w:rPr>
        <w:t>софинансирование</w:t>
      </w:r>
      <w:proofErr w:type="spellEnd"/>
      <w:r w:rsidRPr="000A5370">
        <w:rPr>
          <w:sz w:val="28"/>
        </w:rPr>
        <w:t xml:space="preserve"> мероприятий по строительству, реконструкции (модернизации) канализационных очистных сооружений субъектов РФ, не участвующих в реализации федерального проекта «Оздоровление Волги».</w:t>
      </w:r>
    </w:p>
    <w:p w:rsidR="000A5370" w:rsidRPr="000A5370" w:rsidRDefault="000A5370" w:rsidP="003979D8">
      <w:pPr>
        <w:ind w:firstLine="567"/>
        <w:jc w:val="both"/>
        <w:rPr>
          <w:sz w:val="28"/>
        </w:rPr>
      </w:pPr>
      <w:r w:rsidRPr="000A5370">
        <w:rPr>
          <w:sz w:val="28"/>
        </w:rPr>
        <w:t xml:space="preserve">2) Разработка и утверждение в составе национального проекта «Экология» федерального проекта «Обращение с осадком сточных вод», предусматривающего </w:t>
      </w:r>
      <w:proofErr w:type="spellStart"/>
      <w:r w:rsidRPr="000A5370">
        <w:rPr>
          <w:sz w:val="28"/>
        </w:rPr>
        <w:t>софинансирование</w:t>
      </w:r>
      <w:proofErr w:type="spellEnd"/>
      <w:r w:rsidRPr="000A5370">
        <w:rPr>
          <w:sz w:val="28"/>
        </w:rPr>
        <w:t xml:space="preserve"> за счет средств бюджетов бюджетной системы РФ мероприятий по внедрению современных методов </w:t>
      </w:r>
      <w:proofErr w:type="spellStart"/>
      <w:r w:rsidRPr="000A5370">
        <w:rPr>
          <w:sz w:val="28"/>
        </w:rPr>
        <w:t>дезинвазии</w:t>
      </w:r>
      <w:proofErr w:type="spellEnd"/>
      <w:r w:rsidRPr="000A5370">
        <w:rPr>
          <w:sz w:val="28"/>
        </w:rPr>
        <w:t xml:space="preserve"> осадка сточных вод.</w:t>
      </w:r>
    </w:p>
    <w:p w:rsidR="000A5370" w:rsidRPr="000A5370" w:rsidRDefault="000A5370" w:rsidP="003979D8">
      <w:pPr>
        <w:ind w:firstLine="567"/>
        <w:jc w:val="both"/>
        <w:rPr>
          <w:sz w:val="28"/>
        </w:rPr>
      </w:pPr>
      <w:r w:rsidRPr="000A5370">
        <w:rPr>
          <w:sz w:val="28"/>
        </w:rPr>
        <w:t>3) Установление приоритета включения в региональные программы для реализации федеральных проектов национального проекта «Экология» проектов, реализуемых с привлечением внебюджетных средств.</w:t>
      </w:r>
    </w:p>
    <w:p w:rsidR="000A5370" w:rsidRPr="00E0733B" w:rsidRDefault="000A5370" w:rsidP="003979D8">
      <w:pPr>
        <w:ind w:firstLine="567"/>
        <w:jc w:val="both"/>
        <w:rPr>
          <w:sz w:val="28"/>
        </w:rPr>
      </w:pPr>
      <w:proofErr w:type="gramStart"/>
      <w:r w:rsidRPr="000A5370">
        <w:rPr>
          <w:sz w:val="28"/>
        </w:rPr>
        <w:lastRenderedPageBreak/>
        <w:t xml:space="preserve">4) В целях обеспечения выполнения условий федеральных проектов «Оздоровление Волги», «Чистая вода», иных федеральных проектов, реализуемых в рамках национального проекта «Экология», по привлечению внебюджетных средств установление в качестве одного из критериев отбора проектов по реконструкции (модернизации) объектов водоснабжения и водоотведения для </w:t>
      </w:r>
      <w:proofErr w:type="spellStart"/>
      <w:r w:rsidRPr="000A5370">
        <w:rPr>
          <w:sz w:val="28"/>
        </w:rPr>
        <w:t>софинансирования</w:t>
      </w:r>
      <w:proofErr w:type="spellEnd"/>
      <w:r w:rsidRPr="000A5370">
        <w:rPr>
          <w:sz w:val="28"/>
        </w:rPr>
        <w:t xml:space="preserve"> за счет средств федерального бюджета критерий </w:t>
      </w:r>
      <w:proofErr w:type="spellStart"/>
      <w:r w:rsidRPr="000A5370">
        <w:rPr>
          <w:sz w:val="28"/>
        </w:rPr>
        <w:t>софинансирования</w:t>
      </w:r>
      <w:proofErr w:type="spellEnd"/>
      <w:r w:rsidRPr="000A5370">
        <w:rPr>
          <w:sz w:val="28"/>
        </w:rPr>
        <w:t xml:space="preserve"> таких проектов за счет внебюджетных источников в размере не менее 30%.</w:t>
      </w:r>
      <w:proofErr w:type="gramEnd"/>
    </w:p>
    <w:p w:rsidR="00DF0D39" w:rsidRDefault="00DF0D39" w:rsidP="00805246">
      <w:pPr>
        <w:jc w:val="both"/>
        <w:rPr>
          <w:sz w:val="28"/>
        </w:rPr>
      </w:pPr>
    </w:p>
    <w:p w:rsidR="00DF0D39" w:rsidRDefault="00AC5AAA" w:rsidP="00AC5AAA">
      <w:pPr>
        <w:pStyle w:val="2"/>
        <w:ind w:left="360"/>
        <w:jc w:val="center"/>
        <w:rPr>
          <w:sz w:val="28"/>
        </w:rPr>
      </w:pPr>
      <w:bookmarkStart w:id="12" w:name="_Toc17380265"/>
      <w:r>
        <w:rPr>
          <w:sz w:val="28"/>
        </w:rPr>
        <w:t xml:space="preserve">3. </w:t>
      </w:r>
      <w:r w:rsidR="00DF0D39" w:rsidRPr="001338D0">
        <w:rPr>
          <w:sz w:val="28"/>
        </w:rPr>
        <w:t>Создание научно-производственного комплекса, предусматривающего привязку научных центров и центров производства по технологиям и производственной базе, механизм привлечения инвестиций в научно-исследовательские разработки.</w:t>
      </w:r>
      <w:bookmarkEnd w:id="12"/>
    </w:p>
    <w:p w:rsidR="00132712" w:rsidRDefault="00132712" w:rsidP="000D4022">
      <w:pPr>
        <w:ind w:firstLine="284"/>
        <w:jc w:val="both"/>
        <w:rPr>
          <w:sz w:val="28"/>
          <w:szCs w:val="28"/>
        </w:rPr>
      </w:pPr>
    </w:p>
    <w:p w:rsidR="000D4022" w:rsidRPr="003979D8" w:rsidRDefault="000D4022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Реализация Указа Президента Российской Федерации от 7 мая 2018 г. № 204 "О национальных целях и стратегических задачах развития Российской Федерации на период до 2024 года" ставит задачу выведения </w:t>
      </w:r>
      <w:r w:rsidR="008E2292" w:rsidRPr="003979D8">
        <w:rPr>
          <w:sz w:val="28"/>
        </w:rPr>
        <w:t xml:space="preserve">технической оснащенности </w:t>
      </w:r>
      <w:r w:rsidRPr="003979D8">
        <w:rPr>
          <w:sz w:val="28"/>
        </w:rPr>
        <w:t>ВКК на новый уровень:</w:t>
      </w:r>
    </w:p>
    <w:p w:rsidR="000D4022" w:rsidRDefault="000D4022" w:rsidP="003979D8">
      <w:pPr>
        <w:ind w:firstLine="567"/>
        <w:jc w:val="both"/>
        <w:rPr>
          <w:sz w:val="28"/>
          <w:szCs w:val="28"/>
        </w:rPr>
      </w:pPr>
      <w:r w:rsidRPr="003979D8">
        <w:rPr>
          <w:sz w:val="28"/>
        </w:rPr>
        <w:t xml:space="preserve">Задача развития сферы водоснабжения решается через ФП «Чистая вода» национального проекта «Экология». </w:t>
      </w:r>
      <w:proofErr w:type="gramStart"/>
      <w:r w:rsidRPr="003979D8">
        <w:rPr>
          <w:sz w:val="28"/>
        </w:rPr>
        <w:t>Данный</w:t>
      </w:r>
      <w:proofErr w:type="gramEnd"/>
      <w:r w:rsidRPr="003979D8">
        <w:rPr>
          <w:sz w:val="28"/>
        </w:rPr>
        <w:t xml:space="preserve"> ФП такие целевые показатели, которых планируется достичь</w:t>
      </w:r>
      <w:r>
        <w:rPr>
          <w:sz w:val="28"/>
          <w:szCs w:val="28"/>
        </w:rPr>
        <w:t xml:space="preserve"> к 2024 году:</w:t>
      </w:r>
    </w:p>
    <w:p w:rsidR="000D4022" w:rsidRDefault="000D4022" w:rsidP="000D4022">
      <w:pPr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населения страны, обеспеченного качественной питьевой водой центрального водоснабжения с 87,5% в 2018 году  до 90,8% к концу 2024 года;</w:t>
      </w:r>
    </w:p>
    <w:p w:rsidR="000D4022" w:rsidRDefault="000D4022" w:rsidP="000D4022">
      <w:pPr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</w:t>
      </w:r>
      <w:r>
        <w:rPr>
          <w:i/>
          <w:sz w:val="28"/>
          <w:szCs w:val="28"/>
        </w:rPr>
        <w:t xml:space="preserve">городского </w:t>
      </w:r>
      <w:r>
        <w:rPr>
          <w:sz w:val="28"/>
          <w:szCs w:val="28"/>
        </w:rPr>
        <w:t>населения, обеспеченного качественной питьевой водой центрального водоснабжения, с 94,5% в 2018 году  до 99% к концу 2024 года;</w:t>
      </w:r>
    </w:p>
    <w:p w:rsidR="000D4022" w:rsidRDefault="000D4022" w:rsidP="000D4022">
      <w:pPr>
        <w:numPr>
          <w:ilvl w:val="0"/>
          <w:numId w:val="2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реконструкция крупных объектов питьевого водоснабжения в количестве 373 единиц к концу 2024 года. </w:t>
      </w:r>
    </w:p>
    <w:p w:rsidR="000D4022" w:rsidRDefault="000D4022" w:rsidP="000D4022">
      <w:pPr>
        <w:rPr>
          <w:sz w:val="28"/>
          <w:szCs w:val="28"/>
        </w:rPr>
      </w:pPr>
    </w:p>
    <w:p w:rsidR="000D4022" w:rsidRPr="003979D8" w:rsidRDefault="000D4022" w:rsidP="003979D8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Задача </w:t>
      </w:r>
      <w:r w:rsidRPr="003979D8">
        <w:rPr>
          <w:sz w:val="28"/>
        </w:rPr>
        <w:t xml:space="preserve">развития сферы водоотведения является чрезвычайно капиталоемкой и </w:t>
      </w:r>
      <w:proofErr w:type="spellStart"/>
      <w:r w:rsidRPr="003979D8">
        <w:rPr>
          <w:sz w:val="28"/>
        </w:rPr>
        <w:t>инвестиционно</w:t>
      </w:r>
      <w:proofErr w:type="spellEnd"/>
      <w:r w:rsidRPr="003979D8">
        <w:rPr>
          <w:sz w:val="28"/>
        </w:rPr>
        <w:t xml:space="preserve"> непривлекательной без государственной поддержки. Ввиду этого национальный проект «Экология» предусматривает </w:t>
      </w:r>
      <w:r w:rsidRPr="003979D8">
        <w:rPr>
          <w:sz w:val="28"/>
        </w:rPr>
        <w:lastRenderedPageBreak/>
        <w:t xml:space="preserve">поэтапное решение данной задачи. На первом этапе (до 2024 года) предусматривается оздоровление реки Волги и озера Байкал за счет реализации одноименных федеральных проектов. </w:t>
      </w:r>
    </w:p>
    <w:p w:rsidR="000D4022" w:rsidRDefault="000D4022" w:rsidP="003979D8">
      <w:pPr>
        <w:ind w:firstLine="567"/>
        <w:jc w:val="both"/>
        <w:rPr>
          <w:sz w:val="28"/>
          <w:szCs w:val="28"/>
        </w:rPr>
      </w:pPr>
      <w:r w:rsidRPr="003979D8">
        <w:rPr>
          <w:sz w:val="28"/>
        </w:rPr>
        <w:t>Их целевые показатели включают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0D4022" w:rsidRDefault="000D4022" w:rsidP="000D402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проект «Оздоровление Волги»: сокращение сброса неочищенных сточных вод в количестве 2,8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/год.</w:t>
      </w:r>
    </w:p>
    <w:p w:rsidR="000D4022" w:rsidRDefault="000D4022" w:rsidP="000D4022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 «Оздоровление озера Байкал»: сокращение сброса загрязненных сточных вод в озеро Байкал и другие водные объекты Байкальской природной территории на 28,2% к концу 2024 года.</w:t>
      </w:r>
    </w:p>
    <w:p w:rsidR="000D4022" w:rsidRPr="003979D8" w:rsidRDefault="003779DA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Масштабные инвестиции в сферу ВКХ должны быть использованы для создания научно-производственного комплекса, </w:t>
      </w:r>
      <w:r w:rsidR="00E630BE" w:rsidRPr="003979D8">
        <w:rPr>
          <w:sz w:val="28"/>
        </w:rPr>
        <w:t>обеспечивающего инновационное развитие, формирования экономики будущего, постоянного технологического обновления, повышения глобальной конкурентоспособности промышленности для нужд ВКХ.</w:t>
      </w:r>
    </w:p>
    <w:p w:rsidR="00E630BE" w:rsidRPr="003979D8" w:rsidRDefault="00E630BE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Задача консолидации перспективных мировых технологий и оборудования </w:t>
      </w:r>
      <w:r w:rsidRPr="003979D8">
        <w:rPr>
          <w:sz w:val="28"/>
        </w:rPr>
        <w:t>для водоподготовки и очистки сточных вод</w:t>
      </w:r>
      <w:r w:rsidRPr="003979D8">
        <w:rPr>
          <w:sz w:val="28"/>
        </w:rPr>
        <w:t xml:space="preserve">, их локализация их производства на территории России и стран Евразийского экономического союза, развитие отечественных производств </w:t>
      </w:r>
      <w:r w:rsidRPr="003979D8">
        <w:rPr>
          <w:sz w:val="28"/>
        </w:rPr>
        <w:t xml:space="preserve">имеет сегодня как реальные перспективы, так и ограничения. Анализ номенклатуры основного и вспомогательного отраслевого оборудования, а также обеспечивающего современные технологии, показывает, какие виды имеют конкурентные преимущества не только на достаточно ограниченном отечественном рынке, но и за рубежом. </w:t>
      </w:r>
    </w:p>
    <w:p w:rsidR="00E630BE" w:rsidRPr="003979D8" w:rsidRDefault="00E630BE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Для водопроводных станций из 40 наименований основного оборудования только 6 не имеют отечественных аналогов, но по 17, т.е. почти по половине позиций, отечественные образцы не обеспечивают необходимое качество. Для обеспечения эффективной работы сооружений очистки природной воды сейчас необходимо использовать 20‒25 % импортных комплектующих, а в сложных канализационных очистных сооружениях ‒ 35 %. </w:t>
      </w:r>
    </w:p>
    <w:p w:rsidR="00E630BE" w:rsidRPr="003979D8" w:rsidRDefault="00E630BE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 xml:space="preserve">Для водоподготовки приходится ввозить, прежде всего, скребки для удаления осадка, различные мешалки, все мембранное оборудование, начиная с мембран, дозаторы, установки приготовления </w:t>
      </w:r>
      <w:proofErr w:type="spellStart"/>
      <w:r w:rsidRPr="003979D8">
        <w:rPr>
          <w:sz w:val="28"/>
        </w:rPr>
        <w:t>флокулянта</w:t>
      </w:r>
      <w:proofErr w:type="spellEnd"/>
      <w:r w:rsidRPr="003979D8">
        <w:rPr>
          <w:sz w:val="28"/>
        </w:rPr>
        <w:t xml:space="preserve"> и др. </w:t>
      </w:r>
      <w:r w:rsidRPr="003979D8">
        <w:rPr>
          <w:sz w:val="28"/>
        </w:rPr>
        <w:lastRenderedPageBreak/>
        <w:t>Хотя отечественная промышленность и выпускает данное оборудование, его надежность, понимаемая как число часов наработки на отказ, в разы уступает западноевропейскому оборудованию.</w:t>
      </w:r>
    </w:p>
    <w:p w:rsidR="00E630BE" w:rsidRPr="003979D8" w:rsidRDefault="00E630BE" w:rsidP="003979D8">
      <w:pPr>
        <w:ind w:firstLine="567"/>
        <w:jc w:val="both"/>
        <w:rPr>
          <w:sz w:val="28"/>
        </w:rPr>
      </w:pPr>
      <w:r w:rsidRPr="003979D8">
        <w:rPr>
          <w:sz w:val="28"/>
        </w:rPr>
        <w:t>Для очистки сточных вод применяются импортные погружные насосы большой производительности, транспортеры, погружные мешалки, центрифуги (</w:t>
      </w:r>
      <w:proofErr w:type="spellStart"/>
      <w:r w:rsidRPr="003979D8">
        <w:rPr>
          <w:sz w:val="28"/>
        </w:rPr>
        <w:t>декантеры</w:t>
      </w:r>
      <w:proofErr w:type="spellEnd"/>
      <w:r w:rsidRPr="003979D8">
        <w:rPr>
          <w:sz w:val="28"/>
        </w:rPr>
        <w:t xml:space="preserve">), почти все оборудование для сушки осадка и др. Остальное оборудование производится в России, около 15 видов отечественного оборудования требуют повышения надежности. Это насосы небольшой производительности, как погружные дренажные, так и «сухие», скребковые механизмы, </w:t>
      </w:r>
      <w:proofErr w:type="spellStart"/>
      <w:r w:rsidRPr="003979D8">
        <w:rPr>
          <w:sz w:val="28"/>
        </w:rPr>
        <w:t>реагентные</w:t>
      </w:r>
      <w:proofErr w:type="spellEnd"/>
      <w:r w:rsidRPr="003979D8">
        <w:rPr>
          <w:sz w:val="28"/>
        </w:rPr>
        <w:t xml:space="preserve"> узлы и пр. Характерно, что с ростом производительности станций доля импортного оборудования возрастает. </w:t>
      </w:r>
    </w:p>
    <w:p w:rsidR="00E66B29" w:rsidRPr="00AA1376" w:rsidRDefault="00E66B29" w:rsidP="003979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79D8">
        <w:rPr>
          <w:sz w:val="28"/>
        </w:rPr>
        <w:t>Создание и развитие научно-производственного комплекса должно быть интегрировано с национальным проектом «Экология» и другими программами, предусматривающими поддержку за счет бюджетной системы</w:t>
      </w:r>
      <w:r w:rsidRPr="00AA1376">
        <w:rPr>
          <w:rFonts w:ascii="Times New Roman" w:hAnsi="Times New Roman"/>
          <w:sz w:val="28"/>
          <w:szCs w:val="28"/>
        </w:rPr>
        <w:t xml:space="preserve">. </w:t>
      </w:r>
    </w:p>
    <w:p w:rsidR="00AA1376" w:rsidRPr="00205F1F" w:rsidRDefault="00497CA2" w:rsidP="00BF2766">
      <w:pPr>
        <w:pStyle w:val="1"/>
        <w:ind w:left="-142" w:firstLine="142"/>
        <w:jc w:val="center"/>
        <w:rPr>
          <w:rFonts w:eastAsiaTheme="minorHAnsi"/>
        </w:rPr>
      </w:pPr>
      <w:bookmarkStart w:id="13" w:name="_Toc17380266"/>
      <w:r>
        <w:rPr>
          <w:rFonts w:eastAsiaTheme="minorHAnsi"/>
          <w:lang w:val="en-US"/>
        </w:rPr>
        <w:t>IV</w:t>
      </w:r>
      <w:r w:rsidR="00AA1376">
        <w:rPr>
          <w:rFonts w:eastAsiaTheme="minorHAnsi"/>
        </w:rPr>
        <w:t xml:space="preserve">. </w:t>
      </w:r>
      <w:r w:rsidR="00AA1376" w:rsidRPr="00205F1F">
        <w:rPr>
          <w:rFonts w:eastAsiaTheme="minorHAnsi"/>
        </w:rPr>
        <w:t>Оценка необходимых объемов ресурсного обеспечения реализации мероприятий стратегии развития отрасли.</w:t>
      </w:r>
      <w:bookmarkEnd w:id="13"/>
    </w:p>
    <w:p w:rsidR="00AA1376" w:rsidRDefault="00AA1376">
      <w:pPr>
        <w:rPr>
          <w:sz w:val="28"/>
        </w:rPr>
      </w:pPr>
    </w:p>
    <w:p w:rsidR="00C44C53" w:rsidRPr="00C44C53" w:rsidRDefault="00C44C53" w:rsidP="003979D8">
      <w:pPr>
        <w:ind w:firstLine="567"/>
        <w:jc w:val="both"/>
        <w:rPr>
          <w:sz w:val="28"/>
        </w:rPr>
      </w:pPr>
      <w:r w:rsidRPr="00C44C53">
        <w:rPr>
          <w:sz w:val="28"/>
        </w:rPr>
        <w:t xml:space="preserve">Достоверная оценка общей потребности сферы </w:t>
      </w:r>
      <w:r>
        <w:rPr>
          <w:sz w:val="28"/>
        </w:rPr>
        <w:t xml:space="preserve">ВКХ </w:t>
      </w:r>
      <w:r w:rsidRPr="00C44C53">
        <w:rPr>
          <w:sz w:val="28"/>
        </w:rPr>
        <w:t xml:space="preserve">в инвестиционных финансовых средствах представляется </w:t>
      </w:r>
      <w:proofErr w:type="spellStart"/>
      <w:r w:rsidRPr="00C44C53">
        <w:rPr>
          <w:sz w:val="28"/>
        </w:rPr>
        <w:t>сложновыполнимой</w:t>
      </w:r>
      <w:proofErr w:type="spellEnd"/>
      <w:r w:rsidRPr="00C44C53">
        <w:rPr>
          <w:sz w:val="28"/>
        </w:rPr>
        <w:t xml:space="preserve"> задачей. Существуют 2 </w:t>
      </w:r>
      <w:proofErr w:type="gramStart"/>
      <w:r w:rsidRPr="00C44C53">
        <w:rPr>
          <w:sz w:val="28"/>
        </w:rPr>
        <w:t>основных</w:t>
      </w:r>
      <w:proofErr w:type="gramEnd"/>
      <w:r w:rsidRPr="00C44C53">
        <w:rPr>
          <w:sz w:val="28"/>
        </w:rPr>
        <w:t xml:space="preserve"> фактора, не позволяющих провести такую оценку. </w:t>
      </w:r>
    </w:p>
    <w:p w:rsidR="00C44C53" w:rsidRPr="00C44C53" w:rsidRDefault="00C44C53" w:rsidP="003979D8">
      <w:pPr>
        <w:ind w:firstLine="567"/>
        <w:jc w:val="both"/>
        <w:rPr>
          <w:sz w:val="28"/>
        </w:rPr>
      </w:pPr>
      <w:r w:rsidRPr="00C44C53">
        <w:rPr>
          <w:sz w:val="28"/>
        </w:rPr>
        <w:t>Во-первых, неясна исходная информация о состоянии инфраструктуры по всей стране. Работа по оценке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пров</w:t>
      </w:r>
      <w:r>
        <w:rPr>
          <w:sz w:val="28"/>
        </w:rPr>
        <w:t xml:space="preserve">одится </w:t>
      </w:r>
      <w:r w:rsidRPr="00C44C53">
        <w:rPr>
          <w:sz w:val="28"/>
        </w:rPr>
        <w:t>Фондом содействия реформирования ЖКХ в настоящий момент</w:t>
      </w:r>
      <w:r>
        <w:rPr>
          <w:sz w:val="28"/>
        </w:rPr>
        <w:t xml:space="preserve"> в рамках федерального проекта «Чистая вода»</w:t>
      </w:r>
      <w:r w:rsidRPr="00C44C53">
        <w:rPr>
          <w:sz w:val="28"/>
        </w:rPr>
        <w:t xml:space="preserve">. </w:t>
      </w:r>
      <w:r>
        <w:rPr>
          <w:sz w:val="28"/>
        </w:rPr>
        <w:t xml:space="preserve"> В водоотведении такая оценка на сегодняшний день проводится только по некоторым субъектам Российской Федерации, принимающим участие в реализации федеральных проектов «Оздоровление Волги» и «Сохранение озера Байкал».</w:t>
      </w:r>
    </w:p>
    <w:p w:rsidR="00C44C53" w:rsidRPr="00C44C53" w:rsidRDefault="00C44C53" w:rsidP="003979D8">
      <w:pPr>
        <w:ind w:firstLine="567"/>
        <w:jc w:val="both"/>
        <w:rPr>
          <w:sz w:val="28"/>
        </w:rPr>
      </w:pPr>
      <w:proofErr w:type="gramStart"/>
      <w:r w:rsidRPr="00C44C53">
        <w:rPr>
          <w:sz w:val="28"/>
        </w:rPr>
        <w:t xml:space="preserve">Во-вторых, оценка потребности в инвестициях должна основываться на объективных целевых параметрах, которые должны быть достигнуты в результате: какого качества воды предполагается достичь, в какой части </w:t>
      </w:r>
      <w:r w:rsidRPr="00C44C53">
        <w:rPr>
          <w:sz w:val="28"/>
        </w:rPr>
        <w:lastRenderedPageBreak/>
        <w:t>должна проводиться замена изношенных сетей, включаются в расчет инвестиции на автоматизацию процессов, включая установку интеллектуальных систем учета и управления ресурсами и другие сопутствующие процессу водоснабжения инфраструктурные задачи.</w:t>
      </w:r>
      <w:proofErr w:type="gramEnd"/>
    </w:p>
    <w:p w:rsidR="00625987" w:rsidRDefault="00625987" w:rsidP="003979D8">
      <w:pPr>
        <w:ind w:firstLine="567"/>
        <w:jc w:val="both"/>
        <w:rPr>
          <w:sz w:val="28"/>
        </w:rPr>
      </w:pPr>
      <w:r>
        <w:rPr>
          <w:sz w:val="28"/>
        </w:rPr>
        <w:t xml:space="preserve">Широко используемый показатель связи между операционными и инвестиционными расходами, полагающий оптимальным соотношение между ними в 43%, не отражает специфики </w:t>
      </w:r>
      <w:proofErr w:type="spellStart"/>
      <w:r>
        <w:rPr>
          <w:sz w:val="28"/>
        </w:rPr>
        <w:t>тарифообразования</w:t>
      </w:r>
      <w:proofErr w:type="spellEnd"/>
      <w:r>
        <w:rPr>
          <w:sz w:val="28"/>
        </w:rPr>
        <w:t xml:space="preserve"> по принципу «инфляция минус»</w:t>
      </w:r>
      <w:r w:rsidR="00F505F8">
        <w:rPr>
          <w:sz w:val="28"/>
        </w:rPr>
        <w:t xml:space="preserve"> и дает заниженную оценку, принятую в Стратегии развития ЖКХ до 2020 года в 200 млрд. рублей в год.</w:t>
      </w:r>
    </w:p>
    <w:p w:rsidR="00625987" w:rsidRDefault="00F505F8" w:rsidP="003979D8">
      <w:pPr>
        <w:ind w:firstLine="567"/>
        <w:jc w:val="both"/>
        <w:rPr>
          <w:sz w:val="28"/>
        </w:rPr>
      </w:pPr>
      <w:r>
        <w:rPr>
          <w:sz w:val="28"/>
        </w:rPr>
        <w:t>По оц</w:t>
      </w:r>
      <w:r w:rsidR="001760BB">
        <w:rPr>
          <w:sz w:val="28"/>
        </w:rPr>
        <w:t>енке Института экономики города, объем инвестиций, необходимых для замены сетевого хозяйства в водоснабжении составляет 3,193 трлн. рублей; в водоотведении – 637,6 млрд. рублей.</w:t>
      </w:r>
    </w:p>
    <w:p w:rsidR="00DA0182" w:rsidRDefault="003F49AE" w:rsidP="003979D8">
      <w:pPr>
        <w:ind w:firstLine="567"/>
        <w:jc w:val="both"/>
        <w:rPr>
          <w:sz w:val="28"/>
        </w:rPr>
      </w:pPr>
      <w:r>
        <w:rPr>
          <w:sz w:val="28"/>
        </w:rPr>
        <w:t xml:space="preserve">Учитывая тенденции развития отрасли и поставленные «майским указом» задачи в сфере водоснабжения и водоотведения целесообразно оставить установленную Стратегией ЖКХ до 2020 года планку </w:t>
      </w:r>
      <w:r w:rsidR="00DA0182">
        <w:rPr>
          <w:sz w:val="28"/>
        </w:rPr>
        <w:t xml:space="preserve">рекомендованного объема </w:t>
      </w:r>
      <w:r>
        <w:rPr>
          <w:sz w:val="28"/>
        </w:rPr>
        <w:t xml:space="preserve">инвестиций в отрасль в 200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рублей в год</w:t>
      </w:r>
      <w:r w:rsidR="00DA0182">
        <w:rPr>
          <w:sz w:val="28"/>
        </w:rPr>
        <w:t>.</w:t>
      </w:r>
    </w:p>
    <w:p w:rsidR="00DA0182" w:rsidRPr="00DA0182" w:rsidRDefault="00125DD3" w:rsidP="003979D8">
      <w:pPr>
        <w:ind w:firstLine="567"/>
        <w:jc w:val="both"/>
        <w:rPr>
          <w:sz w:val="28"/>
        </w:rPr>
      </w:pPr>
      <w:r>
        <w:rPr>
          <w:sz w:val="28"/>
        </w:rPr>
        <w:t>Ставя задачу по развитию ВКХ как социально и экологически значимой отрасли и научно-технологического комплекса, обеспечивающего ее развитие, необходимо принимать во внимание, что ч</w:t>
      </w:r>
      <w:r w:rsidR="00DA0182" w:rsidRPr="00DA0182">
        <w:rPr>
          <w:sz w:val="28"/>
        </w:rPr>
        <w:t>резвычайно большое значение имеет емкость потенциального рынка сбыта оборудования. Эта емкость применительно к рассматриваемой сфере определяется:</w:t>
      </w:r>
    </w:p>
    <w:p w:rsidR="00DA0182" w:rsidRPr="00DA0182" w:rsidRDefault="00DA0182" w:rsidP="00DA0182">
      <w:pPr>
        <w:rPr>
          <w:sz w:val="28"/>
        </w:rPr>
      </w:pPr>
      <w:r w:rsidRPr="00DA0182">
        <w:rPr>
          <w:sz w:val="28"/>
        </w:rPr>
        <w:t>•</w:t>
      </w:r>
      <w:r w:rsidRPr="00DA0182">
        <w:rPr>
          <w:sz w:val="28"/>
        </w:rPr>
        <w:tab/>
        <w:t>общим количеством существующих очистных сооружений,</w:t>
      </w:r>
    </w:p>
    <w:p w:rsidR="00DA0182" w:rsidRPr="00DA0182" w:rsidRDefault="00DA0182" w:rsidP="00DA0182">
      <w:pPr>
        <w:rPr>
          <w:sz w:val="28"/>
        </w:rPr>
      </w:pPr>
      <w:r w:rsidRPr="00DA0182">
        <w:rPr>
          <w:sz w:val="28"/>
        </w:rPr>
        <w:t>•</w:t>
      </w:r>
      <w:r w:rsidRPr="00DA0182">
        <w:rPr>
          <w:sz w:val="28"/>
        </w:rPr>
        <w:tab/>
        <w:t>сроком службы тех или иных разновидностей оборудования,</w:t>
      </w:r>
    </w:p>
    <w:p w:rsidR="00DA0182" w:rsidRPr="00DA0182" w:rsidRDefault="00DA0182" w:rsidP="00DA0182">
      <w:pPr>
        <w:rPr>
          <w:sz w:val="28"/>
        </w:rPr>
      </w:pPr>
      <w:r w:rsidRPr="00DA0182">
        <w:rPr>
          <w:sz w:val="28"/>
        </w:rPr>
        <w:t>•</w:t>
      </w:r>
      <w:r w:rsidRPr="00DA0182">
        <w:rPr>
          <w:sz w:val="28"/>
        </w:rPr>
        <w:tab/>
        <w:t xml:space="preserve">размером финансовых средств, </w:t>
      </w:r>
      <w:proofErr w:type="gramStart"/>
      <w:r w:rsidRPr="00DA0182">
        <w:rPr>
          <w:sz w:val="28"/>
        </w:rPr>
        <w:t>выделяемыми</w:t>
      </w:r>
      <w:proofErr w:type="gramEnd"/>
      <w:r w:rsidRPr="00DA0182">
        <w:rPr>
          <w:sz w:val="28"/>
        </w:rPr>
        <w:t xml:space="preserve"> для капитального ремонта очистных сооружений,</w:t>
      </w:r>
    </w:p>
    <w:p w:rsidR="00DA0182" w:rsidRPr="00DA0182" w:rsidRDefault="00DA0182" w:rsidP="00DA0182">
      <w:pPr>
        <w:rPr>
          <w:sz w:val="28"/>
        </w:rPr>
      </w:pPr>
      <w:r w:rsidRPr="00DA0182">
        <w:rPr>
          <w:sz w:val="28"/>
        </w:rPr>
        <w:t>•</w:t>
      </w:r>
      <w:r w:rsidRPr="00DA0182">
        <w:rPr>
          <w:sz w:val="28"/>
        </w:rPr>
        <w:tab/>
        <w:t>объемами нового строительства очистных сооружений и реконструкции существующих.</w:t>
      </w:r>
    </w:p>
    <w:p w:rsidR="00DA0182" w:rsidRPr="00DA0182" w:rsidRDefault="00DA0182" w:rsidP="003979D8">
      <w:pPr>
        <w:ind w:firstLine="567"/>
        <w:jc w:val="both"/>
        <w:rPr>
          <w:sz w:val="28"/>
        </w:rPr>
      </w:pPr>
      <w:r w:rsidRPr="00DA0182">
        <w:rPr>
          <w:sz w:val="28"/>
        </w:rPr>
        <w:t>По последнему из параметров ситуация в Российской Федерации остается крайне неудовлетворительной ввиду недостаточного количества инвестиций, поступающих в ВКХ. В стране практически не вводятся новые очистные сооружения производительностью свыше 100 тыс. м³/</w:t>
      </w:r>
      <w:proofErr w:type="spellStart"/>
      <w:r w:rsidRPr="00DA0182">
        <w:rPr>
          <w:sz w:val="28"/>
        </w:rPr>
        <w:t>сут</w:t>
      </w:r>
      <w:proofErr w:type="spellEnd"/>
      <w:r w:rsidRPr="00DA0182">
        <w:rPr>
          <w:sz w:val="28"/>
        </w:rPr>
        <w:t xml:space="preserve">, </w:t>
      </w:r>
      <w:r w:rsidRPr="00DA0182">
        <w:rPr>
          <w:sz w:val="28"/>
        </w:rPr>
        <w:lastRenderedPageBreak/>
        <w:t xml:space="preserve">реконструкция таких объектов – также событие, каковых в год происходит, в лучшем случае, несколько. </w:t>
      </w:r>
    </w:p>
    <w:p w:rsidR="00DA0182" w:rsidRDefault="00DA0182" w:rsidP="003979D8">
      <w:pPr>
        <w:ind w:firstLine="567"/>
        <w:jc w:val="both"/>
        <w:rPr>
          <w:sz w:val="28"/>
        </w:rPr>
      </w:pPr>
      <w:r w:rsidRPr="00DA0182">
        <w:rPr>
          <w:sz w:val="28"/>
        </w:rPr>
        <w:t>В результате по многим позициям общая актуальная емкость отечественного рынка очень мала (при этом отнюдь не свободна, в условиях доступа к импортному оборудованию) и не обеспечивает потенциального дохода, который позволил бы в разумные сроки вернуть инвестиции в производство технически сложного в разработке и производстве оборудования. Также малый тираж оборудования не обеспечивает возможностей для полноценного сервиса.</w:t>
      </w:r>
    </w:p>
    <w:p w:rsidR="00125DD3" w:rsidRDefault="00125DD3" w:rsidP="003979D8">
      <w:pPr>
        <w:ind w:firstLine="567"/>
        <w:jc w:val="both"/>
        <w:rPr>
          <w:sz w:val="28"/>
        </w:rPr>
      </w:pPr>
      <w:r>
        <w:rPr>
          <w:sz w:val="28"/>
        </w:rPr>
        <w:t xml:space="preserve">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для достижения задач поставленных в проектом необходимо поддерживать финансирование отрасли за счет тарифных и бюджетных источников, достаточных для ее развития.</w:t>
      </w:r>
    </w:p>
    <w:p w:rsidR="00125DD3" w:rsidRDefault="00125DD3" w:rsidP="003979D8">
      <w:pPr>
        <w:ind w:firstLine="567"/>
        <w:jc w:val="both"/>
        <w:rPr>
          <w:sz w:val="28"/>
        </w:rPr>
      </w:pPr>
      <w:r>
        <w:rPr>
          <w:sz w:val="28"/>
        </w:rPr>
        <w:t xml:space="preserve">В случае сдерживания тарифов ниже требуемого для развития, должны задействоваться механизмы нетарифного финансирование (налоговые льготы, субсидируемые заемные средства и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.п</w:t>
      </w:r>
      <w:proofErr w:type="spellEnd"/>
      <w:proofErr w:type="gramEnd"/>
      <w:r>
        <w:rPr>
          <w:sz w:val="28"/>
        </w:rPr>
        <w:t>), а в случае капиталоемких инвестиций – прямые субсидии в рамках национального проекта «Экология» и других федеральных и региональных программ.</w:t>
      </w:r>
    </w:p>
    <w:sectPr w:rsidR="00125DD3" w:rsidSect="00AA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89" w:rsidRDefault="00114889" w:rsidP="0012490B">
      <w:pPr>
        <w:spacing w:after="0" w:line="240" w:lineRule="auto"/>
      </w:pPr>
      <w:r>
        <w:separator/>
      </w:r>
    </w:p>
  </w:endnote>
  <w:endnote w:type="continuationSeparator" w:id="0">
    <w:p w:rsidR="00114889" w:rsidRDefault="00114889" w:rsidP="0012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89" w:rsidRDefault="00114889" w:rsidP="0012490B">
      <w:pPr>
        <w:spacing w:after="0" w:line="240" w:lineRule="auto"/>
      </w:pPr>
      <w:r>
        <w:separator/>
      </w:r>
    </w:p>
  </w:footnote>
  <w:footnote w:type="continuationSeparator" w:id="0">
    <w:p w:rsidR="00114889" w:rsidRDefault="00114889" w:rsidP="0012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6A"/>
    <w:multiLevelType w:val="hybridMultilevel"/>
    <w:tmpl w:val="2E667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787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B5B"/>
    <w:multiLevelType w:val="hybridMultilevel"/>
    <w:tmpl w:val="6C3CC86E"/>
    <w:lvl w:ilvl="0" w:tplc="6478E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4743C4"/>
    <w:multiLevelType w:val="hybridMultilevel"/>
    <w:tmpl w:val="DA28AA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CA013C"/>
    <w:multiLevelType w:val="hybridMultilevel"/>
    <w:tmpl w:val="B9C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24B5"/>
    <w:multiLevelType w:val="multilevel"/>
    <w:tmpl w:val="E9420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75A5C40"/>
    <w:multiLevelType w:val="multilevel"/>
    <w:tmpl w:val="B52A98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144B38"/>
    <w:multiLevelType w:val="multilevel"/>
    <w:tmpl w:val="CBDC72B6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619" w:hanging="37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320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4812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6056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766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8904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0508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2112" w:hanging="2160"/>
      </w:pPr>
      <w:rPr>
        <w:rFonts w:asciiTheme="minorHAnsi" w:eastAsiaTheme="minorHAnsi" w:hAnsiTheme="minorHAnsi" w:cstheme="minorBidi" w:hint="default"/>
      </w:rPr>
    </w:lvl>
  </w:abstractNum>
  <w:abstractNum w:abstractNumId="7">
    <w:nsid w:val="3B2D7EAA"/>
    <w:multiLevelType w:val="hybridMultilevel"/>
    <w:tmpl w:val="0C1C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32E85"/>
    <w:multiLevelType w:val="hybridMultilevel"/>
    <w:tmpl w:val="9280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5036"/>
    <w:multiLevelType w:val="hybridMultilevel"/>
    <w:tmpl w:val="DEE226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BD73623"/>
    <w:multiLevelType w:val="hybridMultilevel"/>
    <w:tmpl w:val="AC98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D4BE8"/>
    <w:multiLevelType w:val="hybridMultilevel"/>
    <w:tmpl w:val="72DE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2046E"/>
    <w:multiLevelType w:val="multilevel"/>
    <w:tmpl w:val="B52A98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7A92F22"/>
    <w:multiLevelType w:val="multilevel"/>
    <w:tmpl w:val="111811E8"/>
    <w:lvl w:ilvl="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4" w:hanging="2160"/>
      </w:pPr>
      <w:rPr>
        <w:rFonts w:hint="default"/>
      </w:rPr>
    </w:lvl>
  </w:abstractNum>
  <w:abstractNum w:abstractNumId="14">
    <w:nsid w:val="6272064F"/>
    <w:multiLevelType w:val="hybridMultilevel"/>
    <w:tmpl w:val="710A19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6F4BF8"/>
    <w:multiLevelType w:val="hybridMultilevel"/>
    <w:tmpl w:val="7EB08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66799"/>
    <w:multiLevelType w:val="hybridMultilevel"/>
    <w:tmpl w:val="04E6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5975"/>
    <w:multiLevelType w:val="hybridMultilevel"/>
    <w:tmpl w:val="3D36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D5957"/>
    <w:multiLevelType w:val="hybridMultilevel"/>
    <w:tmpl w:val="58C6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56AEE"/>
    <w:multiLevelType w:val="hybridMultilevel"/>
    <w:tmpl w:val="834EA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44ABC"/>
    <w:multiLevelType w:val="hybridMultilevel"/>
    <w:tmpl w:val="2C04151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70360DF7"/>
    <w:multiLevelType w:val="multilevel"/>
    <w:tmpl w:val="83A0F9D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6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3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0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7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0" w:hanging="2160"/>
      </w:pPr>
      <w:rPr>
        <w:rFonts w:hint="default"/>
      </w:rPr>
    </w:lvl>
  </w:abstractNum>
  <w:abstractNum w:abstractNumId="22">
    <w:nsid w:val="742E621D"/>
    <w:multiLevelType w:val="hybridMultilevel"/>
    <w:tmpl w:val="57D8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36C9F"/>
    <w:multiLevelType w:val="hybridMultilevel"/>
    <w:tmpl w:val="C870F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22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0"/>
  </w:num>
  <w:num w:numId="16">
    <w:abstractNumId w:val="7"/>
  </w:num>
  <w:num w:numId="17">
    <w:abstractNumId w:val="17"/>
  </w:num>
  <w:num w:numId="18">
    <w:abstractNumId w:val="15"/>
  </w:num>
  <w:num w:numId="19">
    <w:abstractNumId w:val="19"/>
  </w:num>
  <w:num w:numId="20">
    <w:abstractNumId w:val="8"/>
  </w:num>
  <w:num w:numId="21">
    <w:abstractNumId w:val="2"/>
  </w:num>
  <w:num w:numId="22">
    <w:abstractNumId w:val="14"/>
  </w:num>
  <w:num w:numId="2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7"/>
    <w:rsid w:val="00007556"/>
    <w:rsid w:val="000360BE"/>
    <w:rsid w:val="00045F60"/>
    <w:rsid w:val="00051FFA"/>
    <w:rsid w:val="000523E1"/>
    <w:rsid w:val="00054853"/>
    <w:rsid w:val="000829E8"/>
    <w:rsid w:val="00083961"/>
    <w:rsid w:val="00084263"/>
    <w:rsid w:val="00097EFB"/>
    <w:rsid w:val="000A2388"/>
    <w:rsid w:val="000A5370"/>
    <w:rsid w:val="000C2E07"/>
    <w:rsid w:val="000D4022"/>
    <w:rsid w:val="000E26D7"/>
    <w:rsid w:val="000E5C62"/>
    <w:rsid w:val="000F0966"/>
    <w:rsid w:val="0011286A"/>
    <w:rsid w:val="00114889"/>
    <w:rsid w:val="0012490B"/>
    <w:rsid w:val="00125DD3"/>
    <w:rsid w:val="001307A9"/>
    <w:rsid w:val="00132712"/>
    <w:rsid w:val="001334D7"/>
    <w:rsid w:val="001338D0"/>
    <w:rsid w:val="0016451A"/>
    <w:rsid w:val="001742B2"/>
    <w:rsid w:val="00175365"/>
    <w:rsid w:val="001760BB"/>
    <w:rsid w:val="001915C8"/>
    <w:rsid w:val="001D7CB7"/>
    <w:rsid w:val="001E4564"/>
    <w:rsid w:val="001E7F77"/>
    <w:rsid w:val="00200252"/>
    <w:rsid w:val="00205F1F"/>
    <w:rsid w:val="00210856"/>
    <w:rsid w:val="00223182"/>
    <w:rsid w:val="002500BD"/>
    <w:rsid w:val="002505B1"/>
    <w:rsid w:val="002530C5"/>
    <w:rsid w:val="00275221"/>
    <w:rsid w:val="002A1F79"/>
    <w:rsid w:val="002A7FF8"/>
    <w:rsid w:val="002B481A"/>
    <w:rsid w:val="002F0FE8"/>
    <w:rsid w:val="002F61ED"/>
    <w:rsid w:val="00303AB2"/>
    <w:rsid w:val="00323F0A"/>
    <w:rsid w:val="00324912"/>
    <w:rsid w:val="00326FE1"/>
    <w:rsid w:val="00345316"/>
    <w:rsid w:val="00365335"/>
    <w:rsid w:val="00365C5A"/>
    <w:rsid w:val="003779DA"/>
    <w:rsid w:val="003979D8"/>
    <w:rsid w:val="003A1FEB"/>
    <w:rsid w:val="003A6C2E"/>
    <w:rsid w:val="003C46D0"/>
    <w:rsid w:val="003E4128"/>
    <w:rsid w:val="003E6E38"/>
    <w:rsid w:val="003F17C1"/>
    <w:rsid w:val="003F2528"/>
    <w:rsid w:val="003F49AE"/>
    <w:rsid w:val="00497CA2"/>
    <w:rsid w:val="004D1A3D"/>
    <w:rsid w:val="004D4029"/>
    <w:rsid w:val="004D62AE"/>
    <w:rsid w:val="005224B1"/>
    <w:rsid w:val="005243CF"/>
    <w:rsid w:val="005323F2"/>
    <w:rsid w:val="00537F86"/>
    <w:rsid w:val="0054658E"/>
    <w:rsid w:val="00576EE6"/>
    <w:rsid w:val="00585FB3"/>
    <w:rsid w:val="005A19FE"/>
    <w:rsid w:val="005D3961"/>
    <w:rsid w:val="005D3F25"/>
    <w:rsid w:val="005D4E46"/>
    <w:rsid w:val="00601867"/>
    <w:rsid w:val="00607086"/>
    <w:rsid w:val="00625987"/>
    <w:rsid w:val="00645BAC"/>
    <w:rsid w:val="006461C8"/>
    <w:rsid w:val="006565E9"/>
    <w:rsid w:val="00690565"/>
    <w:rsid w:val="006A03D2"/>
    <w:rsid w:val="006F1693"/>
    <w:rsid w:val="006F2C13"/>
    <w:rsid w:val="00707C20"/>
    <w:rsid w:val="00710CFC"/>
    <w:rsid w:val="00712F66"/>
    <w:rsid w:val="00736A2D"/>
    <w:rsid w:val="00757F25"/>
    <w:rsid w:val="00771394"/>
    <w:rsid w:val="007800E3"/>
    <w:rsid w:val="00791106"/>
    <w:rsid w:val="007A0D43"/>
    <w:rsid w:val="007E675A"/>
    <w:rsid w:val="00802C4C"/>
    <w:rsid w:val="00805246"/>
    <w:rsid w:val="0081693A"/>
    <w:rsid w:val="008323E4"/>
    <w:rsid w:val="00840F95"/>
    <w:rsid w:val="00847714"/>
    <w:rsid w:val="008532A4"/>
    <w:rsid w:val="008665F6"/>
    <w:rsid w:val="00873E80"/>
    <w:rsid w:val="00877D5F"/>
    <w:rsid w:val="0088672C"/>
    <w:rsid w:val="008B48C1"/>
    <w:rsid w:val="008E2292"/>
    <w:rsid w:val="00902DB5"/>
    <w:rsid w:val="00907667"/>
    <w:rsid w:val="00922D9E"/>
    <w:rsid w:val="00926C87"/>
    <w:rsid w:val="00940052"/>
    <w:rsid w:val="0094478C"/>
    <w:rsid w:val="00945111"/>
    <w:rsid w:val="0099121B"/>
    <w:rsid w:val="00993FAF"/>
    <w:rsid w:val="00A14B95"/>
    <w:rsid w:val="00A45C3C"/>
    <w:rsid w:val="00A461A0"/>
    <w:rsid w:val="00AA1376"/>
    <w:rsid w:val="00AA25CC"/>
    <w:rsid w:val="00AA58A1"/>
    <w:rsid w:val="00AB2670"/>
    <w:rsid w:val="00AB39F4"/>
    <w:rsid w:val="00AC167B"/>
    <w:rsid w:val="00AC204D"/>
    <w:rsid w:val="00AC5AAA"/>
    <w:rsid w:val="00B21E38"/>
    <w:rsid w:val="00B22346"/>
    <w:rsid w:val="00B65150"/>
    <w:rsid w:val="00BA53D9"/>
    <w:rsid w:val="00BA6332"/>
    <w:rsid w:val="00BE3A0E"/>
    <w:rsid w:val="00BE4796"/>
    <w:rsid w:val="00BF2766"/>
    <w:rsid w:val="00C016F8"/>
    <w:rsid w:val="00C131F8"/>
    <w:rsid w:val="00C16F28"/>
    <w:rsid w:val="00C258B3"/>
    <w:rsid w:val="00C36A8A"/>
    <w:rsid w:val="00C40BBF"/>
    <w:rsid w:val="00C44C53"/>
    <w:rsid w:val="00C71F5B"/>
    <w:rsid w:val="00C93DD0"/>
    <w:rsid w:val="00CA106A"/>
    <w:rsid w:val="00CA1C4A"/>
    <w:rsid w:val="00CE6FA4"/>
    <w:rsid w:val="00CF20B5"/>
    <w:rsid w:val="00D95032"/>
    <w:rsid w:val="00DA0182"/>
    <w:rsid w:val="00DA2ADA"/>
    <w:rsid w:val="00DA2E31"/>
    <w:rsid w:val="00DA3425"/>
    <w:rsid w:val="00DC5C00"/>
    <w:rsid w:val="00DF0D39"/>
    <w:rsid w:val="00E0733B"/>
    <w:rsid w:val="00E2655E"/>
    <w:rsid w:val="00E27DAB"/>
    <w:rsid w:val="00E4088D"/>
    <w:rsid w:val="00E43052"/>
    <w:rsid w:val="00E52202"/>
    <w:rsid w:val="00E5478D"/>
    <w:rsid w:val="00E566F7"/>
    <w:rsid w:val="00E630BE"/>
    <w:rsid w:val="00E66B29"/>
    <w:rsid w:val="00E66DB6"/>
    <w:rsid w:val="00EB2074"/>
    <w:rsid w:val="00ED3D9C"/>
    <w:rsid w:val="00EE2F27"/>
    <w:rsid w:val="00F03BAA"/>
    <w:rsid w:val="00F205AB"/>
    <w:rsid w:val="00F2631F"/>
    <w:rsid w:val="00F32195"/>
    <w:rsid w:val="00F42CFD"/>
    <w:rsid w:val="00F505F8"/>
    <w:rsid w:val="00F555B9"/>
    <w:rsid w:val="00F73F8C"/>
    <w:rsid w:val="00F852DE"/>
    <w:rsid w:val="00F9530F"/>
    <w:rsid w:val="00FC5663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6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E1"/>
    <w:rPr>
      <w:rFonts w:ascii="Tahoma" w:eastAsia="Calibri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3A1F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FEB"/>
    <w:pPr>
      <w:spacing w:after="100"/>
    </w:pPr>
  </w:style>
  <w:style w:type="character" w:styleId="a7">
    <w:name w:val="Hyperlink"/>
    <w:basedOn w:val="a0"/>
    <w:uiPriority w:val="99"/>
    <w:unhideWhenUsed/>
    <w:rsid w:val="003A1FE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243C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243C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243CF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2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9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2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90B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F1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73F8C"/>
    <w:pPr>
      <w:spacing w:after="100"/>
      <w:ind w:left="220"/>
    </w:pPr>
  </w:style>
  <w:style w:type="table" w:styleId="af0">
    <w:name w:val="Table Grid"/>
    <w:basedOn w:val="a1"/>
    <w:uiPriority w:val="59"/>
    <w:rsid w:val="00AA1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497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97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6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E1"/>
    <w:rPr>
      <w:rFonts w:ascii="Tahoma" w:eastAsia="Calibri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3A1F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FEB"/>
    <w:pPr>
      <w:spacing w:after="100"/>
    </w:pPr>
  </w:style>
  <w:style w:type="character" w:styleId="a7">
    <w:name w:val="Hyperlink"/>
    <w:basedOn w:val="a0"/>
    <w:uiPriority w:val="99"/>
    <w:unhideWhenUsed/>
    <w:rsid w:val="003A1FE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243C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243C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243CF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2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9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2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90B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F1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73F8C"/>
    <w:pPr>
      <w:spacing w:after="100"/>
      <w:ind w:left="220"/>
    </w:pPr>
  </w:style>
  <w:style w:type="table" w:styleId="af0">
    <w:name w:val="Table Grid"/>
    <w:basedOn w:val="a1"/>
    <w:uiPriority w:val="59"/>
    <w:rsid w:val="00AA1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497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97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81C443053986AF975447F78F3F4EFF46079BCD69E35CB038CBEA18B4649DD78B53C75D418D6388303B9ED5A4F3V6x2K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YandexDisk\&#1056;&#1040;&#1042;&#1042;\&#1048;&#1085;&#1092;&#1086;&#1088;&#1084;&#1072;&#1094;&#1080;&#1103;%20&#1087;&#1086;%20&#1086;&#1090;&#1088;&#1072;&#1089;&#1083;&#1080;\&#1043;&#1086;&#1076;&#1086;&#1074;&#1086;&#1081;%20&#1086;&#1090;&#1095;&#1077;&#1090;%20&#1087;&#1086;%20&#1086;&#1090;&#1088;&#1072;&#1089;&#1083;&#1080;_2018\&#1056;&#1072;&#1089;&#1095;&#1077;&#1090;&#1099;%20&#1082;%20&#1092;&#1072;&#1081;&#1083;&#1091;%20&#1040;&#1085;&#1072;&#1083;&#1080;&#1079;%20&#1089;&#1086;&#1089;&#1090;&#1086;&#1103;&#1085;&#1080;&#1103;%20&#1086;&#1090;&#1088;&#1072;&#1089;&#1083;&#1080;%20(2018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YandexDisk\&#1056;&#1040;&#1042;&#1042;\&#1048;&#1085;&#1092;&#1086;&#1088;&#1084;&#1072;&#1094;&#1080;&#1103;%20&#1087;&#1086;%20&#1086;&#1090;&#1088;&#1072;&#1089;&#1083;&#1080;\&#1043;&#1086;&#1076;&#1086;&#1074;&#1086;&#1081;%20&#1086;&#1090;&#1095;&#1077;&#1090;%20&#1087;&#1086;%20&#1086;&#1090;&#1088;&#1072;&#1089;&#1083;&#1080;_2018\&#1056;&#1072;&#1089;&#1095;&#1077;&#1090;&#1099;%20&#1082;%20&#1092;&#1072;&#1081;&#1083;&#1091;%20&#1040;&#1085;&#1072;&#1083;&#1080;&#1079;%20&#1089;&#1086;&#1089;&#1090;&#1086;&#1103;&#1085;&#1080;&#1103;%20&#1086;&#1090;&#1088;&#1072;&#1089;&#1083;&#1080;%20(2018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YandexDisk\&#1056;&#1040;&#1042;&#1042;\&#1048;&#1085;&#1092;&#1086;&#1088;&#1084;&#1072;&#1094;&#1080;&#1103;%20&#1087;&#1086;%20&#1086;&#1090;&#1088;&#1072;&#1089;&#1083;&#1080;\&#1043;&#1086;&#1076;&#1086;&#1074;&#1086;&#1081;%20&#1086;&#1090;&#1095;&#1077;&#1090;%20&#1087;&#1086;%20&#1086;&#1090;&#1088;&#1072;&#1089;&#1083;&#1080;_2018\&#1056;&#1072;&#1089;&#1095;&#1077;&#1090;&#1099;%20&#1082;%20&#1092;&#1072;&#1081;&#1083;&#1091;%20&#1040;&#1085;&#1072;&#1083;&#1080;&#1079;%20&#1089;&#1086;&#1089;&#1090;&#1086;&#1103;&#1085;&#1080;&#1103;%20&#1086;&#1090;&#1088;&#1072;&#1089;&#1083;&#1080;%20(2018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YandexDisk\&#1056;&#1040;&#1042;&#1042;\&#1048;&#1085;&#1092;&#1086;&#1088;&#1084;&#1072;&#1094;&#1080;&#1103;%20&#1087;&#1086;%20&#1086;&#1090;&#1088;&#1072;&#1089;&#1083;&#1080;\&#1043;&#1086;&#1076;&#1086;&#1074;&#1086;&#1081;%20&#1086;&#1090;&#1095;&#1077;&#1090;%20&#1087;&#1086;%20&#1086;&#1090;&#1088;&#1072;&#1089;&#1083;&#1080;_2018\&#1056;&#1072;&#1089;&#1095;&#1077;&#1090;&#1099;%20&#1082;%20&#1092;&#1072;&#1081;&#1083;&#1091;%20&#1040;&#1085;&#1072;&#1083;&#1080;&#1079;%20&#1089;&#1086;&#1089;&#1090;&#1086;&#1103;&#1085;&#1080;&#1103;%20&#1086;&#1090;&#1088;&#1072;&#1089;&#1083;&#1080;%20(2018)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YandexDisk\&#1056;&#1040;&#1042;&#1042;\&#1048;&#1085;&#1092;&#1086;&#1088;&#1084;&#1072;&#1094;&#1080;&#1103;%20&#1087;&#1086;%20&#1086;&#1090;&#1088;&#1072;&#1089;&#1083;&#1080;\&#1043;&#1086;&#1076;&#1086;&#1074;&#1086;&#1081;%20&#1086;&#1090;&#1095;&#1077;&#1090;%20&#1087;&#1086;%20&#1086;&#1090;&#1088;&#1072;&#1089;&#1083;&#1080;_2018\&#1056;&#1072;&#1089;&#1095;&#1077;&#1090;&#1099;%20&#1082;%20&#1092;&#1072;&#1081;&#1083;&#1091;%20&#1040;&#1085;&#1072;&#1083;&#1080;&#1079;%20&#1089;&#1086;&#1089;&#1090;&#1086;&#1103;&#1085;&#1080;&#1103;%20&#1086;&#1090;&#1088;&#1072;&#1089;&#1083;&#1080;%20(2018)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cap="all" baseline="0"/>
              <a:t>Динамика объемов потребления услуг ВКХ и численности обслуживаемого населения</a:t>
            </a:r>
          </a:p>
        </c:rich>
      </c:tx>
      <c:layout>
        <c:manualLayout>
          <c:xMode val="edge"/>
          <c:yMode val="edge"/>
          <c:x val="0.12743466412479307"/>
          <c:y val="3.36453187109043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Объем отпуска воды 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4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4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4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Лист1!$H$8:$R$8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Лист1!$E$8:$R$8</c15:sqref>
                  </c15:fullRef>
                </c:ext>
              </c:extLst>
            </c:numRef>
          </c:cat>
          <c:val>
            <c:numRef>
              <c:f>Лист1!$H$9:$R$9</c:f>
              <c:numCache>
                <c:formatCode>0.00</c:formatCode>
                <c:ptCount val="11"/>
                <c:pt idx="0">
                  <c:v>12.565769522</c:v>
                </c:pt>
                <c:pt idx="1">
                  <c:v>11.77478215</c:v>
                </c:pt>
                <c:pt idx="2">
                  <c:v>11.932806695</c:v>
                </c:pt>
                <c:pt idx="3">
                  <c:v>10.700768138999999</c:v>
                </c:pt>
                <c:pt idx="4">
                  <c:v>10.299335714</c:v>
                </c:pt>
                <c:pt idx="5">
                  <c:v>10.060370337</c:v>
                </c:pt>
                <c:pt idx="6">
                  <c:v>9.6659678380000003</c:v>
                </c:pt>
                <c:pt idx="7">
                  <c:v>9.5540246839999998</c:v>
                </c:pt>
                <c:pt idx="8">
                  <c:v>9.4556721580000005</c:v>
                </c:pt>
                <c:pt idx="9">
                  <c:v>9.2344870970000006</c:v>
                </c:pt>
                <c:pt idx="10">
                  <c:v>9.18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Лист1!$E$9:$R$9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5-455B-87D1-2760B7B2D843}"/>
            </c:ext>
          </c:extLst>
        </c:ser>
        <c:ser>
          <c:idx val="4"/>
          <c:order val="1"/>
          <c:tx>
            <c:strRef>
              <c:f>Лист1!$A$10</c:f>
              <c:strCache>
                <c:ptCount val="1"/>
                <c:pt idx="0">
                  <c:v>Объем отпуска воды населению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83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83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83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Лист1!$H$8:$R$8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Лист1!$E$8:$R$8</c15:sqref>
                  </c15:fullRef>
                </c:ext>
              </c:extLst>
            </c:numRef>
          </c:cat>
          <c:val>
            <c:numRef>
              <c:f>Лист1!$H$10:$R$10</c:f>
              <c:numCache>
                <c:formatCode>0.00</c:formatCode>
                <c:ptCount val="11"/>
                <c:pt idx="0">
                  <c:v>8.0000062760000006</c:v>
                </c:pt>
                <c:pt idx="1">
                  <c:v>7.6633321949999997</c:v>
                </c:pt>
                <c:pt idx="2">
                  <c:v>7.4797814039999997</c:v>
                </c:pt>
                <c:pt idx="3">
                  <c:v>6.735548885</c:v>
                </c:pt>
                <c:pt idx="4">
                  <c:v>6.4101153919999998</c:v>
                </c:pt>
                <c:pt idx="5">
                  <c:v>6.1390139420000001</c:v>
                </c:pt>
                <c:pt idx="6">
                  <c:v>5.9734978869999997</c:v>
                </c:pt>
                <c:pt idx="7">
                  <c:v>5.9094875269999996</c:v>
                </c:pt>
                <c:pt idx="8">
                  <c:v>5.8374124270000003</c:v>
                </c:pt>
                <c:pt idx="9">
                  <c:v>5.672635917</c:v>
                </c:pt>
                <c:pt idx="10">
                  <c:v>5.68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Лист1!$E$10:$R$10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E5-455B-87D1-2760B7B2D843}"/>
            </c:ext>
          </c:extLst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Объем пропущенных стоков всего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Лист1!$H$8:$R$8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Лист1!$E$8:$R$8</c15:sqref>
                  </c15:fullRef>
                </c:ext>
              </c:extLst>
            </c:numRef>
          </c:cat>
          <c:val>
            <c:numRef>
              <c:f>Лист1!$H$11:$R$11</c:f>
              <c:numCache>
                <c:formatCode>0.00</c:formatCode>
                <c:ptCount val="11"/>
                <c:pt idx="0">
                  <c:v>11.725273051</c:v>
                </c:pt>
                <c:pt idx="1">
                  <c:v>11.402007244</c:v>
                </c:pt>
                <c:pt idx="2">
                  <c:v>10.559495774</c:v>
                </c:pt>
                <c:pt idx="3">
                  <c:v>9.9545431769999997</c:v>
                </c:pt>
                <c:pt idx="4">
                  <c:v>9.5543074509999997</c:v>
                </c:pt>
                <c:pt idx="5">
                  <c:v>9.0777029169999999</c:v>
                </c:pt>
                <c:pt idx="6">
                  <c:v>8.5872744510000008</c:v>
                </c:pt>
                <c:pt idx="7">
                  <c:v>8.3124715550000001</c:v>
                </c:pt>
                <c:pt idx="8">
                  <c:v>8.1282534890000004</c:v>
                </c:pt>
                <c:pt idx="9">
                  <c:v>8.0021440360000007</c:v>
                </c:pt>
                <c:pt idx="10">
                  <c:v>7.92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Лист1!$E$11:$R$11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E5-455B-87D1-2760B7B2D843}"/>
            </c:ext>
          </c:extLst>
        </c:ser>
        <c:ser>
          <c:idx val="6"/>
          <c:order val="3"/>
          <c:tx>
            <c:strRef>
              <c:f>Лист1!$A$12</c:f>
              <c:strCache>
                <c:ptCount val="1"/>
                <c:pt idx="0">
                  <c:v>Объем пропущенных стоков от населения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Лист1!$H$8:$R$8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Лист1!$E$8:$R$8</c15:sqref>
                  </c15:fullRef>
                </c:ext>
              </c:extLst>
            </c:numRef>
          </c:cat>
          <c:val>
            <c:numRef>
              <c:f>Лист1!$H$12:$R$12</c:f>
              <c:numCache>
                <c:formatCode>0.00</c:formatCode>
                <c:ptCount val="11"/>
                <c:pt idx="0">
                  <c:v>8.0146701730000007</c:v>
                </c:pt>
                <c:pt idx="1">
                  <c:v>8.1242196209999999</c:v>
                </c:pt>
                <c:pt idx="2">
                  <c:v>7.3822733180000002</c:v>
                </c:pt>
                <c:pt idx="3">
                  <c:v>6.9330434910000003</c:v>
                </c:pt>
                <c:pt idx="4">
                  <c:v>6.5189767720000003</c:v>
                </c:pt>
                <c:pt idx="5">
                  <c:v>6.1348554059999998</c:v>
                </c:pt>
                <c:pt idx="6">
                  <c:v>5.7327708719999997</c:v>
                </c:pt>
                <c:pt idx="7">
                  <c:v>5.5174861350000004</c:v>
                </c:pt>
                <c:pt idx="8">
                  <c:v>5.3437301460000004</c:v>
                </c:pt>
                <c:pt idx="9">
                  <c:v>5.2110355019999997</c:v>
                </c:pt>
                <c:pt idx="10">
                  <c:v>5.24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Лист1!$E$12:$R$12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E5-455B-87D1-2760B7B2D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overlap val="28"/>
        <c:axId val="154735744"/>
        <c:axId val="154737280"/>
      </c:barChart>
      <c:lineChart>
        <c:grouping val="standard"/>
        <c:varyColors val="0"/>
        <c:ser>
          <c:idx val="1"/>
          <c:order val="4"/>
          <c:tx>
            <c:strRef>
              <c:f>Лист1!$A$56</c:f>
              <c:strCache>
                <c:ptCount val="1"/>
                <c:pt idx="0">
                  <c:v>Обслуживаемое население всего</c:v>
                </c:pt>
              </c:strCache>
            </c:strRef>
          </c:tx>
          <c:spPr>
            <a:ln w="34925" cap="rnd">
              <a:solidFill>
                <a:schemeClr val="accent1">
                  <a:shade val="65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trendline>
            <c:spPr>
              <a:ln w="19050" cap="rnd">
                <a:solidFill>
                  <a:schemeClr val="accent1">
                    <a:shade val="65000"/>
                  </a:schemeClr>
                </a:solidFill>
                <a:prstDash val="sysDash"/>
              </a:ln>
              <a:effectLst/>
            </c:spPr>
            <c:trendlineType val="poly"/>
            <c:order val="2"/>
            <c:dispRSqr val="1"/>
            <c:dispEq val="0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cat>
            <c:strLit>
              <c:ptCount val="9"/>
              <c:pt idx="0">
                <c:v>4</c:v>
              </c:pt>
              <c:pt idx="1">
                <c:v>5</c:v>
              </c:pt>
              <c:pt idx="2">
                <c:v>6</c:v>
              </c:pt>
              <c:pt idx="3">
                <c:v>7</c:v>
              </c:pt>
              <c:pt idx="4">
                <c:v>8</c:v>
              </c:pt>
              <c:pt idx="5">
                <c:v>9</c:v>
              </c:pt>
              <c:pt idx="6">
                <c:v>10</c:v>
              </c:pt>
              <c:pt idx="7">
                <c:v>11</c:v>
              </c:pt>
              <c:pt idx="8">
                <c:v>12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Лист1!$E$61:$M$61</c:f>
              <c:numCache>
                <c:formatCode>General</c:formatCode>
                <c:ptCount val="9"/>
                <c:pt idx="0">
                  <c:v>199.02224200000001</c:v>
                </c:pt>
                <c:pt idx="1">
                  <c:v>198.26705900000002</c:v>
                </c:pt>
                <c:pt idx="2">
                  <c:v>200.766537</c:v>
                </c:pt>
                <c:pt idx="3">
                  <c:v>202.32951399999999</c:v>
                </c:pt>
                <c:pt idx="4">
                  <c:v>203.14037400000001</c:v>
                </c:pt>
                <c:pt idx="5">
                  <c:v>204.69392900000003</c:v>
                </c:pt>
                <c:pt idx="6">
                  <c:v>206.74432400000001</c:v>
                </c:pt>
                <c:pt idx="7">
                  <c:v>210.42117400000001</c:v>
                </c:pt>
                <c:pt idx="8">
                  <c:v>211.843255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Лист1!$B$61:$M$61</c15:sqref>
                  </c15:fullRef>
                </c:ext>
              </c:extLst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E5-455B-87D1-2760B7B2D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745472"/>
        <c:axId val="154743552"/>
      </c:lineChart>
      <c:catAx>
        <c:axId val="1547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37280"/>
        <c:crosses val="autoZero"/>
        <c:auto val="1"/>
        <c:lblAlgn val="ctr"/>
        <c:lblOffset val="100"/>
        <c:noMultiLvlLbl val="0"/>
      </c:catAx>
      <c:valAx>
        <c:axId val="15473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млрд.куб.м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35744"/>
        <c:crosses val="autoZero"/>
        <c:crossBetween val="between"/>
      </c:valAx>
      <c:valAx>
        <c:axId val="15474355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млн.</a:t>
                </a:r>
              </a:p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.95416536587010481"/>
              <c:y val="0.4478099302581475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45472"/>
        <c:crosses val="max"/>
        <c:crossBetween val="between"/>
      </c:valAx>
      <c:catAx>
        <c:axId val="154745472"/>
        <c:scaling>
          <c:orientation val="minMax"/>
        </c:scaling>
        <c:delete val="1"/>
        <c:axPos val="b"/>
        <c:majorTickMark val="none"/>
        <c:minorTickMark val="none"/>
        <c:tickLblPos val="nextTo"/>
        <c:crossAx val="1547435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cap="all" baseline="0"/>
              <a:t>Динамика объемов потребления услуг ВКХ и численности обслуживаемого населения</a:t>
            </a:r>
          </a:p>
        </c:rich>
      </c:tx>
      <c:layout>
        <c:manualLayout>
          <c:xMode val="edge"/>
          <c:yMode val="edge"/>
          <c:x val="0.12743466412479307"/>
          <c:y val="3.36453187109043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Объем отпуска воды 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Лист1!$H$8:$R$8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Лист1!$E$8:$R$8</c15:sqref>
                  </c15:fullRef>
                </c:ext>
              </c:extLst>
            </c:numRef>
          </c:cat>
          <c:val>
            <c:numRef>
              <c:f>Лист1!$H$9:$R$9</c:f>
              <c:numCache>
                <c:formatCode>0.00</c:formatCode>
                <c:ptCount val="11"/>
                <c:pt idx="0">
                  <c:v>12.565769522</c:v>
                </c:pt>
                <c:pt idx="1">
                  <c:v>11.77478215</c:v>
                </c:pt>
                <c:pt idx="2">
                  <c:v>11.932806695</c:v>
                </c:pt>
                <c:pt idx="3">
                  <c:v>10.700768138999999</c:v>
                </c:pt>
                <c:pt idx="4">
                  <c:v>10.299335714</c:v>
                </c:pt>
                <c:pt idx="5">
                  <c:v>10.060370337</c:v>
                </c:pt>
                <c:pt idx="6">
                  <c:v>9.6659678380000003</c:v>
                </c:pt>
                <c:pt idx="7">
                  <c:v>9.5540246839999998</c:v>
                </c:pt>
                <c:pt idx="8">
                  <c:v>9.4556721580000005</c:v>
                </c:pt>
                <c:pt idx="9">
                  <c:v>9.2344870970000006</c:v>
                </c:pt>
                <c:pt idx="10">
                  <c:v>9.18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Лист1!$E$9:$R$9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0B-4F40-A675-D187CABD8DE1}"/>
            </c:ext>
          </c:extLst>
        </c:ser>
        <c:ser>
          <c:idx val="2"/>
          <c:order val="1"/>
          <c:tx>
            <c:strRef>
              <c:f>Лист1!$A$11</c:f>
              <c:strCache>
                <c:ptCount val="1"/>
                <c:pt idx="0">
                  <c:v>Объем пропущенных стоков всего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cat>
            <c:numRef>
              <c:f>Лист1!$H$8:$R$8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Лист1!$E$8:$R$8</c15:sqref>
                  </c15:fullRef>
                </c:ext>
              </c:extLst>
            </c:numRef>
          </c:cat>
          <c:val>
            <c:numRef>
              <c:f>Лист1!$H$11:$R$11</c:f>
              <c:numCache>
                <c:formatCode>0.00</c:formatCode>
                <c:ptCount val="11"/>
                <c:pt idx="0">
                  <c:v>11.725273051</c:v>
                </c:pt>
                <c:pt idx="1">
                  <c:v>11.402007244</c:v>
                </c:pt>
                <c:pt idx="2">
                  <c:v>10.559495774</c:v>
                </c:pt>
                <c:pt idx="3">
                  <c:v>9.9545431769999997</c:v>
                </c:pt>
                <c:pt idx="4">
                  <c:v>9.5543074509999997</c:v>
                </c:pt>
                <c:pt idx="5">
                  <c:v>9.0777029169999999</c:v>
                </c:pt>
                <c:pt idx="6">
                  <c:v>8.5872744510000008</c:v>
                </c:pt>
                <c:pt idx="7">
                  <c:v>8.3124715550000001</c:v>
                </c:pt>
                <c:pt idx="8">
                  <c:v>8.1282534890000004</c:v>
                </c:pt>
                <c:pt idx="9">
                  <c:v>8.0021440360000007</c:v>
                </c:pt>
                <c:pt idx="10">
                  <c:v>7.92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Лист1!$E$11:$R$11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0B-4F40-A675-D187CABD8DE1}"/>
            </c:ext>
          </c:extLst>
        </c:ser>
        <c:ser>
          <c:idx val="4"/>
          <c:order val="2"/>
          <c:tx>
            <c:strRef>
              <c:f>Лист1!$A$10</c:f>
              <c:strCache>
                <c:ptCount val="1"/>
                <c:pt idx="0">
                  <c:v>Объем отпуска воды населению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Лист1!$H$8:$R$8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Лист1!$E$8:$R$8</c15:sqref>
                  </c15:fullRef>
                </c:ext>
              </c:extLst>
            </c:numRef>
          </c:cat>
          <c:val>
            <c:numRef>
              <c:f>Лист1!$H$10:$R$10</c:f>
              <c:numCache>
                <c:formatCode>0.00</c:formatCode>
                <c:ptCount val="11"/>
                <c:pt idx="0">
                  <c:v>8.0000062760000006</c:v>
                </c:pt>
                <c:pt idx="1">
                  <c:v>7.6633321949999997</c:v>
                </c:pt>
                <c:pt idx="2">
                  <c:v>7.4797814039999997</c:v>
                </c:pt>
                <c:pt idx="3">
                  <c:v>6.735548885</c:v>
                </c:pt>
                <c:pt idx="4">
                  <c:v>6.4101153919999998</c:v>
                </c:pt>
                <c:pt idx="5">
                  <c:v>6.1390139420000001</c:v>
                </c:pt>
                <c:pt idx="6">
                  <c:v>5.9734978869999997</c:v>
                </c:pt>
                <c:pt idx="7">
                  <c:v>5.9094875269999996</c:v>
                </c:pt>
                <c:pt idx="8">
                  <c:v>5.8374124270000003</c:v>
                </c:pt>
                <c:pt idx="9">
                  <c:v>5.672635917</c:v>
                </c:pt>
                <c:pt idx="10">
                  <c:v>5.68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Лист1!$E$10:$R$10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0B-4F40-A675-D187CABD8DE1}"/>
            </c:ext>
          </c:extLst>
        </c:ser>
        <c:ser>
          <c:idx val="6"/>
          <c:order val="3"/>
          <c:tx>
            <c:strRef>
              <c:f>Лист1!$A$12</c:f>
              <c:strCache>
                <c:ptCount val="1"/>
                <c:pt idx="0">
                  <c:v>Объем пропущенных стоков от населения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</c:spPr>
          <c:invertIfNegative val="0"/>
          <c:cat>
            <c:numRef>
              <c:f>Лист1!$H$8:$R$8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Лист1!$E$8:$R$8</c15:sqref>
                  </c15:fullRef>
                </c:ext>
              </c:extLst>
            </c:numRef>
          </c:cat>
          <c:val>
            <c:numRef>
              <c:f>Лист1!$H$12:$R$12</c:f>
              <c:numCache>
                <c:formatCode>0.00</c:formatCode>
                <c:ptCount val="11"/>
                <c:pt idx="0">
                  <c:v>8.0146701730000007</c:v>
                </c:pt>
                <c:pt idx="1">
                  <c:v>8.1242196209999999</c:v>
                </c:pt>
                <c:pt idx="2">
                  <c:v>7.3822733180000002</c:v>
                </c:pt>
                <c:pt idx="3">
                  <c:v>6.9330434910000003</c:v>
                </c:pt>
                <c:pt idx="4">
                  <c:v>6.5189767720000003</c:v>
                </c:pt>
                <c:pt idx="5">
                  <c:v>6.1348554059999998</c:v>
                </c:pt>
                <c:pt idx="6">
                  <c:v>5.7327708719999997</c:v>
                </c:pt>
                <c:pt idx="7">
                  <c:v>5.5174861350000004</c:v>
                </c:pt>
                <c:pt idx="8">
                  <c:v>5.3437301460000004</c:v>
                </c:pt>
                <c:pt idx="9">
                  <c:v>5.2110355019999997</c:v>
                </c:pt>
                <c:pt idx="10">
                  <c:v>5.24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Лист1!$E$12:$R$12</c15:sqref>
                  </c15:fullRef>
                </c:ext>
              </c:extLst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0B-4F40-A675-D187CABD8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93472"/>
        <c:axId val="154795008"/>
      </c:barChart>
      <c:lineChart>
        <c:grouping val="standard"/>
        <c:varyColors val="0"/>
        <c:ser>
          <c:idx val="1"/>
          <c:order val="4"/>
          <c:tx>
            <c:strRef>
              <c:f>Лист1!$A$56</c:f>
              <c:strCache>
                <c:ptCount val="1"/>
                <c:pt idx="0">
                  <c:v>Обслуживаемое население всего</c:v>
                </c:pt>
              </c:strCache>
            </c:strRef>
          </c:tx>
          <c:spPr>
            <a:ln w="34925" cap="rnd">
              <a:solidFill>
                <a:schemeClr val="tx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tx2">
                    <a:lumMod val="60000"/>
                    <a:lumOff val="40000"/>
                  </a:schemeClr>
                </a:solidFill>
                <a:prstDash val="sysDash"/>
              </a:ln>
              <a:effectLst/>
            </c:spPr>
            <c:trendlineType val="poly"/>
            <c:order val="2"/>
            <c:dispRSqr val="1"/>
            <c:dispEq val="0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cat>
            <c:strLit>
              <c:ptCount val="9"/>
              <c:pt idx="0">
                <c:v>4</c:v>
              </c:pt>
              <c:pt idx="1">
                <c:v>5</c:v>
              </c:pt>
              <c:pt idx="2">
                <c:v>6</c:v>
              </c:pt>
              <c:pt idx="3">
                <c:v>7</c:v>
              </c:pt>
              <c:pt idx="4">
                <c:v>8</c:v>
              </c:pt>
              <c:pt idx="5">
                <c:v>9</c:v>
              </c:pt>
              <c:pt idx="6">
                <c:v>10</c:v>
              </c:pt>
              <c:pt idx="7">
                <c:v>11</c:v>
              </c:pt>
              <c:pt idx="8">
                <c:v>12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Лист1!$E$61:$M$61</c:f>
              <c:numCache>
                <c:formatCode>General</c:formatCode>
                <c:ptCount val="9"/>
                <c:pt idx="0">
                  <c:v>199.02224200000001</c:v>
                </c:pt>
                <c:pt idx="1">
                  <c:v>198.26705900000002</c:v>
                </c:pt>
                <c:pt idx="2">
                  <c:v>200.766537</c:v>
                </c:pt>
                <c:pt idx="3">
                  <c:v>202.32951399999999</c:v>
                </c:pt>
                <c:pt idx="4">
                  <c:v>203.14037400000001</c:v>
                </c:pt>
                <c:pt idx="5">
                  <c:v>204.69392900000003</c:v>
                </c:pt>
                <c:pt idx="6">
                  <c:v>206.74432400000001</c:v>
                </c:pt>
                <c:pt idx="7">
                  <c:v>210.42117400000001</c:v>
                </c:pt>
                <c:pt idx="8">
                  <c:v>211.843255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Лист1!$B$61:$M$61</c15:sqref>
                  </c15:fullRef>
                </c:ext>
              </c:extLst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A0B-4F40-A675-D187CABD8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65344"/>
        <c:axId val="155063424"/>
      </c:lineChart>
      <c:catAx>
        <c:axId val="1547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95008"/>
        <c:crosses val="autoZero"/>
        <c:auto val="1"/>
        <c:lblAlgn val="ctr"/>
        <c:lblOffset val="100"/>
        <c:noMultiLvlLbl val="0"/>
      </c:catAx>
      <c:valAx>
        <c:axId val="15479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млрд.куб.м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93472"/>
        <c:crosses val="autoZero"/>
        <c:crossBetween val="between"/>
      </c:valAx>
      <c:valAx>
        <c:axId val="15506342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млн.</a:t>
                </a:r>
              </a:p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.95416536587010481"/>
              <c:y val="0.4478099302581475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65344"/>
        <c:crosses val="max"/>
        <c:crossBetween val="between"/>
      </c:valAx>
      <c:catAx>
        <c:axId val="155065344"/>
        <c:scaling>
          <c:orientation val="minMax"/>
        </c:scaling>
        <c:delete val="1"/>
        <c:axPos val="b"/>
        <c:majorTickMark val="none"/>
        <c:minorTickMark val="none"/>
        <c:tickLblPos val="nextTo"/>
        <c:crossAx val="1550634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cap="all" baseline="0"/>
              <a:t>Динамика капитальных вложений в ВКХ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Лист3!$A$18</c:f>
              <c:strCache>
                <c:ptCount val="1"/>
                <c:pt idx="0">
                  <c:v>гос. софинансирование вс+во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cat>
            <c:numRef>
              <c:f>Лист3!$B$2:$L$2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Лист3!$B$8:$L$8</c:f>
              <c:numCache>
                <c:formatCode>0.00</c:formatCode>
                <c:ptCount val="11"/>
                <c:pt idx="0">
                  <c:v>39.610259599999999</c:v>
                </c:pt>
                <c:pt idx="1">
                  <c:v>44.821315200000001</c:v>
                </c:pt>
                <c:pt idx="2">
                  <c:v>50.224252499999999</c:v>
                </c:pt>
                <c:pt idx="3">
                  <c:v>56.058759199999997</c:v>
                </c:pt>
                <c:pt idx="4">
                  <c:v>61.869462900000002</c:v>
                </c:pt>
                <c:pt idx="5">
                  <c:v>65.384594200000009</c:v>
                </c:pt>
                <c:pt idx="6">
                  <c:v>66.0871037</c:v>
                </c:pt>
                <c:pt idx="7">
                  <c:v>68.183309600000001</c:v>
                </c:pt>
                <c:pt idx="8">
                  <c:v>70.310421599999998</c:v>
                </c:pt>
                <c:pt idx="9">
                  <c:v>86.870253700000006</c:v>
                </c:pt>
                <c:pt idx="10">
                  <c:v>88.03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25-4EE8-B601-BBB62CD0AA72}"/>
            </c:ext>
          </c:extLst>
        </c:ser>
        <c:ser>
          <c:idx val="1"/>
          <c:order val="1"/>
          <c:tx>
            <c:strRef>
              <c:f>Лист3!$A$8</c:f>
              <c:strCache>
                <c:ptCount val="1"/>
                <c:pt idx="0">
                  <c:v>инвестиции вс+во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cat>
            <c:numRef>
              <c:f>Лист3!$B$2:$L$2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Лист3!$B$18:$L$18</c:f>
              <c:numCache>
                <c:formatCode>0.00</c:formatCode>
                <c:ptCount val="11"/>
                <c:pt idx="0">
                  <c:v>37.838006599999993</c:v>
                </c:pt>
                <c:pt idx="1">
                  <c:v>31.151116399999999</c:v>
                </c:pt>
                <c:pt idx="2">
                  <c:v>23.7308685</c:v>
                </c:pt>
                <c:pt idx="3">
                  <c:v>21.1076686</c:v>
                </c:pt>
                <c:pt idx="4">
                  <c:v>14.5224259</c:v>
                </c:pt>
                <c:pt idx="5">
                  <c:v>16.636876600000001</c:v>
                </c:pt>
                <c:pt idx="6">
                  <c:v>13.663196100000002</c:v>
                </c:pt>
                <c:pt idx="7">
                  <c:v>18.288476299999999</c:v>
                </c:pt>
                <c:pt idx="8">
                  <c:v>23.646445</c:v>
                </c:pt>
                <c:pt idx="9">
                  <c:v>26.815770200000003</c:v>
                </c:pt>
                <c:pt idx="10">
                  <c:v>23.363008000000001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25-4EE8-B601-BBB62CD0A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076864"/>
        <c:axId val="155082752"/>
      </c:barChart>
      <c:catAx>
        <c:axId val="15507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82752"/>
        <c:crosses val="autoZero"/>
        <c:auto val="1"/>
        <c:lblAlgn val="ctr"/>
        <c:lblOffset val="100"/>
        <c:noMultiLvlLbl val="0"/>
      </c:catAx>
      <c:valAx>
        <c:axId val="15508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7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cap="all" baseline="0"/>
              <a:t>Финансовый результат от основной деятельности</a:t>
            </a:r>
          </a:p>
        </c:rich>
      </c:tx>
      <c:layout>
        <c:manualLayout>
          <c:xMode val="edge"/>
          <c:yMode val="edge"/>
          <c:x val="0.1499194847020934"/>
          <c:y val="2.822201317027281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782087021730986E-2"/>
          <c:y val="0.12109043421482209"/>
          <c:w val="0.88791310506476551"/>
          <c:h val="0.76831499147817106"/>
        </c:manualLayout>
      </c:layout>
      <c:lineChart>
        <c:grouping val="standard"/>
        <c:varyColors val="0"/>
        <c:ser>
          <c:idx val="0"/>
          <c:order val="0"/>
          <c:tx>
            <c:strRef>
              <c:f>Лист3!$A$35</c:f>
              <c:strCache>
                <c:ptCount val="1"/>
                <c:pt idx="0">
                  <c:v>фин результат вс</c:v>
                </c:pt>
              </c:strCache>
            </c:strRef>
          </c:tx>
          <c:spPr>
            <a:ln w="22225" cap="rnd" cmpd="sng" algn="ctr">
              <a:solidFill>
                <a:schemeClr val="accent1">
                  <a:shade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Лист3!$B$2:$L$2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Лист3!$B$35:$L$35</c:f>
              <c:numCache>
                <c:formatCode>General</c:formatCode>
                <c:ptCount val="11"/>
                <c:pt idx="0">
                  <c:v>-4.1726799999999997</c:v>
                </c:pt>
                <c:pt idx="1">
                  <c:v>-2.0095798</c:v>
                </c:pt>
                <c:pt idx="2">
                  <c:v>-1.9071978999999999</c:v>
                </c:pt>
                <c:pt idx="3">
                  <c:v>-3.4022477000000002</c:v>
                </c:pt>
                <c:pt idx="4">
                  <c:v>-6.3012547999999997</c:v>
                </c:pt>
                <c:pt idx="5">
                  <c:v>-7.6684945999999998</c:v>
                </c:pt>
                <c:pt idx="6">
                  <c:v>-10.693456599999999</c:v>
                </c:pt>
                <c:pt idx="7">
                  <c:v>-9.5048323000000003</c:v>
                </c:pt>
                <c:pt idx="8">
                  <c:v>-8.4241970999999989</c:v>
                </c:pt>
                <c:pt idx="9">
                  <c:v>-2.6118087999999999</c:v>
                </c:pt>
                <c:pt idx="10">
                  <c:v>-4.5787530999999992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8C0-437A-A935-BB1DF0AB36E2}"/>
            </c:ext>
          </c:extLst>
        </c:ser>
        <c:ser>
          <c:idx val="1"/>
          <c:order val="1"/>
          <c:tx>
            <c:strRef>
              <c:f>Лист3!$A$36</c:f>
              <c:strCache>
                <c:ptCount val="1"/>
                <c:pt idx="0">
                  <c:v>фин результат во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Лист3!$B$2:$L$2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Лист3!$B$36:$L$36</c:f>
              <c:numCache>
                <c:formatCode>General</c:formatCode>
                <c:ptCount val="11"/>
                <c:pt idx="0">
                  <c:v>0.91325159999999994</c:v>
                </c:pt>
                <c:pt idx="1">
                  <c:v>1.0718922</c:v>
                </c:pt>
                <c:pt idx="2">
                  <c:v>2.9593845999999999</c:v>
                </c:pt>
                <c:pt idx="3">
                  <c:v>0.68607609999999997</c:v>
                </c:pt>
                <c:pt idx="4">
                  <c:v>-3.2703736000000001</c:v>
                </c:pt>
                <c:pt idx="5">
                  <c:v>-7.7200951</c:v>
                </c:pt>
                <c:pt idx="6">
                  <c:v>-9.6678125000000001</c:v>
                </c:pt>
                <c:pt idx="7">
                  <c:v>-12.7309748</c:v>
                </c:pt>
                <c:pt idx="8">
                  <c:v>-7.1078133000000001</c:v>
                </c:pt>
                <c:pt idx="9">
                  <c:v>-6.1404472999999999</c:v>
                </c:pt>
                <c:pt idx="10">
                  <c:v>-7.1739180999999999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8C0-437A-A935-BB1DF0AB36E2}"/>
            </c:ext>
          </c:extLst>
        </c:ser>
        <c:ser>
          <c:idx val="2"/>
          <c:order val="2"/>
          <c:tx>
            <c:strRef>
              <c:f>Лист3!$A$37</c:f>
              <c:strCache>
                <c:ptCount val="1"/>
                <c:pt idx="0">
                  <c:v>итого вс+во</c:v>
                </c:pt>
              </c:strCache>
            </c:strRef>
          </c:tx>
          <c:spPr>
            <a:ln w="22225" cap="rnd" cmpd="sng" algn="ctr">
              <a:solidFill>
                <a:schemeClr val="accent1">
                  <a:tint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C0-437A-A935-BB1DF0AB36E2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C0-437A-A935-BB1DF0AB36E2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C0-437A-A935-BB1DF0AB36E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C0-437A-A935-BB1DF0AB36E2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C0-437A-A935-BB1DF0AB36E2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C0-437A-A935-BB1DF0AB36E2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C0-437A-A935-BB1DF0AB36E2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C0-437A-A935-BB1DF0AB36E2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C0-437A-A935-BB1DF0AB36E2}"/>
                </c:ext>
              </c:extLst>
            </c:dLbl>
            <c:dLbl>
              <c:idx val="10"/>
              <c:layout>
                <c:manualLayout>
                  <c:x val="-4.6008741660915745E-2"/>
                  <c:y val="3.7629350893697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C0-437A-A935-BB1DF0AB36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Лист3!$B$2:$L$2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Лист3!$B$37:$L$37</c:f>
              <c:numCache>
                <c:formatCode>0.00</c:formatCode>
                <c:ptCount val="11"/>
                <c:pt idx="0">
                  <c:v>-3.2594284</c:v>
                </c:pt>
                <c:pt idx="1">
                  <c:v>-0.93768760000000007</c:v>
                </c:pt>
                <c:pt idx="2">
                  <c:v>1.0521867</c:v>
                </c:pt>
                <c:pt idx="3">
                  <c:v>-2.7161716</c:v>
                </c:pt>
                <c:pt idx="4">
                  <c:v>-9.5716283999999998</c:v>
                </c:pt>
                <c:pt idx="5">
                  <c:v>-15.388589700000001</c:v>
                </c:pt>
                <c:pt idx="6">
                  <c:v>-20.361269100000001</c:v>
                </c:pt>
                <c:pt idx="7">
                  <c:v>-22.235807100000002</c:v>
                </c:pt>
                <c:pt idx="8">
                  <c:v>-15.532010399999999</c:v>
                </c:pt>
                <c:pt idx="9">
                  <c:v>-8.7522561000000003</c:v>
                </c:pt>
                <c:pt idx="10">
                  <c:v>-11.752671199999998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8C0-437A-A935-BB1DF0AB3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55106688"/>
        <c:axId val="155108480"/>
      </c:lineChart>
      <c:catAx>
        <c:axId val="15510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08480"/>
        <c:crosses val="autoZero"/>
        <c:auto val="1"/>
        <c:lblAlgn val="ctr"/>
        <c:lblOffset val="100"/>
        <c:noMultiLvlLbl val="0"/>
      </c:catAx>
      <c:valAx>
        <c:axId val="1551084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млрд. рублей</a:t>
                </a:r>
              </a:p>
            </c:rich>
          </c:tx>
          <c:layout>
            <c:manualLayout>
              <c:xMode val="edge"/>
              <c:yMode val="edge"/>
              <c:x val="1.7057650402395354E-2"/>
              <c:y val="0.2922501808628577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0668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cap="all" baseline="0"/>
              <a:t>Соотношение выручки с расходами предприятия по основной деятельности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standard"/>
        <c:varyColors val="0"/>
        <c:ser>
          <c:idx val="0"/>
          <c:order val="0"/>
          <c:tx>
            <c:strRef>
              <c:f>Лист3!$A$44</c:f>
              <c:strCache>
                <c:ptCount val="1"/>
                <c:pt idx="0">
                  <c:v>расходы вс+во</c:v>
                </c:pt>
              </c:strCache>
            </c:strRef>
          </c:tx>
          <c:spPr>
            <a:solidFill>
              <a:schemeClr val="accent1">
                <a:alpha val="35000"/>
              </a:schemeClr>
            </a:solidFill>
            <a:ln w="9525">
              <a:solidFill>
                <a:schemeClr val="accent1"/>
              </a:solidFill>
            </a:ln>
            <a:effectLst/>
            <a:sp3d contourW="9525">
              <a:contourClr>
                <a:schemeClr val="accent1"/>
              </a:contourClr>
            </a:sp3d>
          </c:spPr>
          <c:cat>
            <c:numRef>
              <c:f>Лист3!$B$2:$L$2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Лист3!$B$27:$L$27</c:f>
              <c:numCache>
                <c:formatCode>0.00</c:formatCode>
                <c:ptCount val="11"/>
                <c:pt idx="0">
                  <c:v>216.94651670000002</c:v>
                </c:pt>
                <c:pt idx="1">
                  <c:v>246.49281429999996</c:v>
                </c:pt>
                <c:pt idx="2">
                  <c:v>276.1412631</c:v>
                </c:pt>
                <c:pt idx="3">
                  <c:v>301.70588579999998</c:v>
                </c:pt>
                <c:pt idx="4">
                  <c:v>304.03652959999999</c:v>
                </c:pt>
                <c:pt idx="5">
                  <c:v>318.31442090000002</c:v>
                </c:pt>
                <c:pt idx="6">
                  <c:v>327.67067459999998</c:v>
                </c:pt>
                <c:pt idx="7">
                  <c:v>341.96187900000001</c:v>
                </c:pt>
                <c:pt idx="8">
                  <c:v>367.41016630000001</c:v>
                </c:pt>
                <c:pt idx="9">
                  <c:v>388.24655540000003</c:v>
                </c:pt>
                <c:pt idx="10">
                  <c:v>407.97699999999998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B0-461F-A0D3-D66982509D8C}"/>
            </c:ext>
          </c:extLst>
        </c:ser>
        <c:ser>
          <c:idx val="1"/>
          <c:order val="1"/>
          <c:tx>
            <c:strRef>
              <c:f>Лист3!$A$27</c:f>
              <c:strCache>
                <c:ptCount val="1"/>
                <c:pt idx="0">
                  <c:v>выручка вс+во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9525">
              <a:solidFill>
                <a:schemeClr val="accent3"/>
              </a:solidFill>
            </a:ln>
            <a:effectLst/>
            <a:sp3d contourW="9525">
              <a:contourClr>
                <a:schemeClr val="accent3"/>
              </a:contourClr>
            </a:sp3d>
          </c:spPr>
          <c:cat>
            <c:numRef>
              <c:f>Лист3!$B$2:$L$2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Лист3!$B$44:$L$44</c:f>
              <c:numCache>
                <c:formatCode>0.00</c:formatCode>
                <c:ptCount val="11"/>
                <c:pt idx="0">
                  <c:v>220.20594510000001</c:v>
                </c:pt>
                <c:pt idx="1">
                  <c:v>247.43050190000002</c:v>
                </c:pt>
                <c:pt idx="2">
                  <c:v>275.08907640000001</c:v>
                </c:pt>
                <c:pt idx="3">
                  <c:v>304.42205739999997</c:v>
                </c:pt>
                <c:pt idx="4">
                  <c:v>313.608158</c:v>
                </c:pt>
                <c:pt idx="5">
                  <c:v>333.70301059999997</c:v>
                </c:pt>
                <c:pt idx="6">
                  <c:v>348.03194369999994</c:v>
                </c:pt>
                <c:pt idx="7">
                  <c:v>364.19768609999994</c:v>
                </c:pt>
                <c:pt idx="8">
                  <c:v>382.9421767</c:v>
                </c:pt>
                <c:pt idx="9">
                  <c:v>396.99881149999999</c:v>
                </c:pt>
                <c:pt idx="10">
                  <c:v>419.72962740000003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B0-461F-A0D3-D66982509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737472"/>
        <c:axId val="155739264"/>
        <c:axId val="155080896"/>
      </c:area3DChart>
      <c:catAx>
        <c:axId val="15573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739264"/>
        <c:crosses val="autoZero"/>
        <c:auto val="1"/>
        <c:lblAlgn val="ctr"/>
        <c:lblOffset val="100"/>
        <c:noMultiLvlLbl val="0"/>
      </c:catAx>
      <c:valAx>
        <c:axId val="15573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млрд.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737472"/>
        <c:crosses val="autoZero"/>
        <c:crossBetween val="midCat"/>
      </c:valAx>
      <c:serAx>
        <c:axId val="155080896"/>
        <c:scaling>
          <c:orientation val="minMax"/>
        </c:scaling>
        <c:delete val="1"/>
        <c:axPos val="b"/>
        <c:majorTickMark val="none"/>
        <c:minorTickMark val="none"/>
        <c:tickLblPos val="nextTo"/>
        <c:crossAx val="155739264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2672-0EFC-40CB-B4BB-4D0A54E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40</Pages>
  <Words>9544</Words>
  <Characters>54403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EpshteinAlexandr</dc:creator>
  <cp:lastModifiedBy>EpshteinAlexandr</cp:lastModifiedBy>
  <cp:revision>40</cp:revision>
  <cp:lastPrinted>2019-07-16T14:13:00Z</cp:lastPrinted>
  <dcterms:created xsi:type="dcterms:W3CDTF">2019-08-22T07:17:00Z</dcterms:created>
  <dcterms:modified xsi:type="dcterms:W3CDTF">2019-08-22T12:30:00Z</dcterms:modified>
</cp:coreProperties>
</file>